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9150.0" w:type="dxa"/>
        <w:jc w:val="left"/>
        <w:tblInd w:w="-85.0" w:type="dxa"/>
        <w:tblLayout w:type="fixed"/>
        <w:tblLook w:val="0000"/>
      </w:tblPr>
      <w:tblGrid>
        <w:gridCol w:w="7320"/>
        <w:gridCol w:w="1830"/>
        <w:tblGridChange w:id="0">
          <w:tblGrid>
            <w:gridCol w:w="7320"/>
            <w:gridCol w:w="1830"/>
          </w:tblGrid>
        </w:tblGridChange>
      </w:tblGrid>
      <w:tr>
        <w:trPr>
          <w:cantSplit w:val="0"/>
          <w:trHeight w:val="308" w:hRule="atLeast"/>
          <w:tblHeader w:val="0"/>
        </w:trPr>
        <w:tc>
          <w:tcPr>
            <w:gridSpan w:val="2"/>
            <w:vAlign w:val="center"/>
          </w:tcPr>
          <w:p w:rsidR="00000000" w:rsidDel="00000000" w:rsidP="00000000" w:rsidRDefault="00000000" w:rsidRPr="00000000" w14:paraId="00000002">
            <w:pPr>
              <w:spacing w:after="0" w:line="240" w:lineRule="auto"/>
              <w:ind w:left="-57" w:right="-57"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Stan na dzień sporządzenia prospektu informacyjnego</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04">
            <w:pPr>
              <w:spacing w:after="0" w:line="240" w:lineRule="auto"/>
              <w:ind w:left="-57" w:right="-57" w:firstLine="0"/>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after="0" w:line="240" w:lineRule="auto"/>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18.09.2025</w:t>
            </w:r>
            <w:r w:rsidDel="00000000" w:rsidR="00000000" w:rsidRPr="00000000">
              <w:rPr>
                <w:rtl w:val="0"/>
              </w:rPr>
            </w:r>
          </w:p>
        </w:tc>
      </w:tr>
      <w:tr>
        <w:trPr>
          <w:cantSplit w:val="0"/>
          <w:trHeight w:val="555" w:hRule="atLeast"/>
          <w:tblHeader w:val="0"/>
        </w:trPr>
        <w:tc>
          <w:tcPr>
            <w:gridSpan w:val="2"/>
            <w:vAlign w:val="center"/>
          </w:tcPr>
          <w:p w:rsidR="00000000" w:rsidDel="00000000" w:rsidP="00000000" w:rsidRDefault="00000000" w:rsidRPr="00000000" w14:paraId="00000006">
            <w:pPr>
              <w:spacing w:after="0" w:line="240" w:lineRule="auto"/>
              <w:ind w:right="-5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40" w:lineRule="auto"/>
              <w:ind w:left="-57" w:right="-57"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PROSPEKT INFORMACYJNY</w:t>
            </w:r>
            <w:r w:rsidDel="00000000" w:rsidR="00000000" w:rsidRPr="00000000">
              <w:rPr>
                <w:rtl w:val="0"/>
              </w:rPr>
            </w:r>
          </w:p>
        </w:tc>
      </w:tr>
    </w:tbl>
    <w:p w:rsidR="00000000" w:rsidDel="00000000" w:rsidP="00000000" w:rsidRDefault="00000000" w:rsidRPr="00000000" w14:paraId="00000009">
      <w:pPr>
        <w:spacing w:after="60" w:before="6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A">
      <w:pPr>
        <w:spacing w:after="144" w:before="144"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CZĘŚĆ OGÓLNA</w:t>
      </w:r>
    </w:p>
    <w:p w:rsidR="00000000" w:rsidDel="00000000" w:rsidP="00000000" w:rsidRDefault="00000000" w:rsidRPr="00000000" w14:paraId="0000000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C">
      <w:pPr>
        <w:widowControl w:val="0"/>
        <w:numPr>
          <w:ilvl w:val="0"/>
          <w:numId w:val="7"/>
        </w:numPr>
        <w:spacing w:after="280" w:line="240" w:lineRule="auto"/>
        <w:ind w:left="1077" w:hanging="72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IDENTYFIKACYJNE I KONTAKTOWE DOTYCZĄCE DEWELOPERA</w:t>
      </w:r>
    </w:p>
    <w:tbl>
      <w:tblPr>
        <w:tblStyle w:val="Table2"/>
        <w:tblpPr w:leftFromText="141" w:rightFromText="141" w:topFromText="0" w:bottomFromText="0" w:vertAnchor="text" w:horzAnchor="text" w:tblpX="0" w:tblpY="50"/>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3240"/>
        <w:gridCol w:w="3420"/>
        <w:tblGridChange w:id="0">
          <w:tblGrid>
            <w:gridCol w:w="2988"/>
            <w:gridCol w:w="3240"/>
            <w:gridCol w:w="3420"/>
          </w:tblGrid>
        </w:tblGridChange>
      </w:tblGrid>
      <w:tr>
        <w:trPr>
          <w:cantSplit w:val="0"/>
          <w:tblHeader w:val="0"/>
        </w:trPr>
        <w:tc>
          <w:tcPr>
            <w:gridSpan w:val="3"/>
            <w:tcBorders>
              <w:bottom w:color="000000" w:space="0" w:sz="4" w:val="single"/>
            </w:tcBorders>
            <w:shd w:fill="e0e0e0" w:val="clear"/>
          </w:tcPr>
          <w:p w:rsidR="00000000" w:rsidDel="00000000" w:rsidP="00000000" w:rsidRDefault="00000000" w:rsidRPr="00000000" w14:paraId="0000000D">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DEWELOPERA</w:t>
            </w:r>
          </w:p>
          <w:p w:rsidR="00000000" w:rsidDel="00000000" w:rsidP="00000000" w:rsidRDefault="00000000" w:rsidRPr="00000000" w14:paraId="0000000E">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75" w:hRule="atLeast"/>
          <w:tblHeader w:val="0"/>
        </w:trPr>
        <w:tc>
          <w:tcPr>
            <w:shd w:fill="f3f3f3" w:val="clear"/>
          </w:tcPr>
          <w:p w:rsidR="00000000" w:rsidDel="00000000" w:rsidP="00000000" w:rsidRDefault="00000000" w:rsidRPr="00000000" w14:paraId="0000001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Deweloper</w:t>
            </w:r>
          </w:p>
        </w:tc>
        <w:tc>
          <w:tcPr>
            <w:gridSpan w:val="2"/>
          </w:tcPr>
          <w:p w:rsidR="00000000" w:rsidDel="00000000" w:rsidP="00000000" w:rsidRDefault="00000000" w:rsidRPr="00000000" w14:paraId="0000001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DOMFORTE Spółka z Ograniczoną Odpowiedzialnością, numer KRS: 0000863992 </w:t>
              <w:br w:type="textWrapping"/>
            </w:r>
          </w:p>
        </w:tc>
      </w:tr>
      <w:tr>
        <w:trPr>
          <w:cantSplit w:val="0"/>
          <w:trHeight w:val="1065" w:hRule="atLeast"/>
          <w:tblHeader w:val="0"/>
        </w:trPr>
        <w:tc>
          <w:tcPr>
            <w:shd w:fill="f3f3f3"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gridSpan w:val="2"/>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Zamknięta 10/1.5</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30-554 Kraków</w:t>
            </w:r>
          </w:p>
        </w:tc>
      </w:tr>
      <w:tr>
        <w:trPr>
          <w:cantSplit w:val="0"/>
          <w:trHeight w:val="188" w:hRule="atLeast"/>
          <w:tblHeader w:val="0"/>
        </w:trPr>
        <w:tc>
          <w:tcPr>
            <w:shd w:fill="f3f3f3" w:val="clear"/>
          </w:tcPr>
          <w:p w:rsidR="00000000" w:rsidDel="00000000" w:rsidP="00000000" w:rsidRDefault="00000000" w:rsidRPr="00000000" w14:paraId="0000001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NIP REGON</w:t>
            </w:r>
          </w:p>
        </w:tc>
        <w:tc>
          <w:tcPr/>
          <w:p w:rsidR="00000000" w:rsidDel="00000000" w:rsidP="00000000" w:rsidRDefault="00000000" w:rsidRPr="00000000" w14:paraId="0000001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NIP 6793206655</w:t>
            </w:r>
          </w:p>
        </w:tc>
        <w:tc>
          <w:tcPr>
            <w:shd w:fill="auto" w:val="clear"/>
          </w:tcPr>
          <w:p w:rsidR="00000000" w:rsidDel="00000000" w:rsidP="00000000" w:rsidRDefault="00000000" w:rsidRPr="00000000" w14:paraId="0000001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REGON: 387289526</w:t>
            </w:r>
          </w:p>
        </w:tc>
      </w:tr>
      <w:tr>
        <w:trPr>
          <w:cantSplit w:val="0"/>
          <w:tblHeader w:val="0"/>
        </w:trPr>
        <w:tc>
          <w:tcPr>
            <w:shd w:fill="f3f3f3" w:val="clear"/>
          </w:tcPr>
          <w:p w:rsidR="00000000" w:rsidDel="00000000" w:rsidP="00000000" w:rsidRDefault="00000000" w:rsidRPr="00000000" w14:paraId="0000001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telefonu</w:t>
            </w:r>
          </w:p>
        </w:tc>
        <w:tc>
          <w:tcPr>
            <w:gridSpan w:val="2"/>
          </w:tcPr>
          <w:p w:rsidR="00000000" w:rsidDel="00000000" w:rsidP="00000000" w:rsidRDefault="00000000" w:rsidRPr="00000000" w14:paraId="0000001C">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272" w:hRule="atLeast"/>
          <w:tblHeader w:val="0"/>
        </w:trPr>
        <w:tc>
          <w:tcPr>
            <w:shd w:fill="f3f3f3" w:val="clear"/>
          </w:tcPr>
          <w:p w:rsidR="00000000" w:rsidDel="00000000" w:rsidP="00000000" w:rsidRDefault="00000000" w:rsidRPr="00000000" w14:paraId="0000001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poczty elektronicznej</w:t>
            </w:r>
          </w:p>
        </w:tc>
        <w:tc>
          <w:tcPr>
            <w:gridSpan w:val="2"/>
          </w:tcPr>
          <w:p w:rsidR="00000000" w:rsidDel="00000000" w:rsidP="00000000" w:rsidRDefault="00000000" w:rsidRPr="00000000" w14:paraId="0000001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biuro@domforte.pl</w:t>
            </w:r>
          </w:p>
        </w:tc>
      </w:tr>
      <w:tr>
        <w:trPr>
          <w:cantSplit w:val="0"/>
          <w:tblHeader w:val="0"/>
        </w:trPr>
        <w:tc>
          <w:tcPr>
            <w:shd w:fill="f3f3f3" w:val="clear"/>
          </w:tcPr>
          <w:p w:rsidR="00000000" w:rsidDel="00000000" w:rsidP="00000000" w:rsidRDefault="00000000" w:rsidRPr="00000000" w14:paraId="0000002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faksu</w:t>
            </w:r>
          </w:p>
        </w:tc>
        <w:tc>
          <w:tcPr>
            <w:gridSpan w:val="2"/>
          </w:tcPr>
          <w:p w:rsidR="00000000" w:rsidDel="00000000" w:rsidP="00000000" w:rsidRDefault="00000000" w:rsidRPr="00000000" w14:paraId="00000022">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218" w:hRule="atLeast"/>
          <w:tblHeader w:val="0"/>
        </w:trPr>
        <w:tc>
          <w:tcPr>
            <w:shd w:fill="f3f3f3" w:val="clear"/>
          </w:tcPr>
          <w:p w:rsidR="00000000" w:rsidDel="00000000" w:rsidP="00000000" w:rsidRDefault="00000000" w:rsidRPr="00000000" w14:paraId="0000002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strony internetowej dewelopera</w:t>
            </w:r>
          </w:p>
        </w:tc>
        <w:tc>
          <w:tcPr>
            <w:gridSpan w:val="2"/>
            <w:shd w:fill="auto" w:val="clear"/>
          </w:tcPr>
          <w:p w:rsidR="00000000" w:rsidDel="00000000" w:rsidP="00000000" w:rsidRDefault="00000000" w:rsidRPr="00000000" w14:paraId="0000002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www.domforte.pl</w:t>
            </w:r>
          </w:p>
        </w:tc>
      </w:tr>
    </w:tbl>
    <w:p w:rsidR="00000000" w:rsidDel="00000000" w:rsidP="00000000" w:rsidRDefault="00000000" w:rsidRPr="00000000" w14:paraId="00000027">
      <w:pPr>
        <w:widowControl w:val="0"/>
        <w:spacing w:after="280" w:before="240" w:line="240" w:lineRule="auto"/>
        <w:ind w:left="1080"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8">
      <w:pPr>
        <w:widowControl w:val="0"/>
        <w:numPr>
          <w:ilvl w:val="0"/>
          <w:numId w:val="7"/>
        </w:numPr>
        <w:spacing w:after="280" w:before="240" w:line="240" w:lineRule="auto"/>
        <w:ind w:left="1077" w:hanging="72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DOŚWIADCZENIE DEWELOPERA</w:t>
      </w:r>
    </w:p>
    <w:tbl>
      <w:tblPr>
        <w:tblStyle w:val="Table3"/>
        <w:tblpPr w:leftFromText="141" w:rightFromText="141" w:topFromText="0" w:bottomFromText="0" w:vertAnchor="text" w:horzAnchor="text" w:tblpX="0" w:tblpY="55"/>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3"/>
        <w:gridCol w:w="6835"/>
        <w:tblGridChange w:id="0">
          <w:tblGrid>
            <w:gridCol w:w="2813"/>
            <w:gridCol w:w="6835"/>
          </w:tblGrid>
        </w:tblGridChange>
      </w:tblGrid>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29">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HISTORIA I UDOKUMENTOWANE DOŚWIADCZENIE DEWELOPERA</w:t>
            </w:r>
          </w:p>
        </w:tc>
      </w:tr>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2B">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PRZYKŁAD UKOŃCZONEGO PRZEDSIĘWZIĘCIA DEWELOPERSKIEGO (należy wskazać, o ile istnieją, trzy ukończone przedsięwzięcia deweloperskie, w tym ostatnie)</w:t>
            </w:r>
          </w:p>
        </w:tc>
      </w:tr>
      <w:tr>
        <w:trPr>
          <w:cantSplit w:val="0"/>
          <w:trHeight w:val="135" w:hRule="atLeast"/>
          <w:tblHeader w:val="0"/>
        </w:trPr>
        <w:tc>
          <w:tcPr>
            <w:shd w:fill="f3f3f3" w:val="clear"/>
          </w:tcPr>
          <w:p w:rsidR="00000000" w:rsidDel="00000000" w:rsidP="00000000" w:rsidRDefault="00000000" w:rsidRPr="00000000" w14:paraId="0000002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p w:rsidR="00000000" w:rsidDel="00000000" w:rsidP="00000000" w:rsidRDefault="00000000" w:rsidRPr="00000000" w14:paraId="0000002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Budowa osiedla trzech domów jednorodzinnych dwulokalowych, Petrażyckiego 83, Kraków</w:t>
            </w:r>
          </w:p>
        </w:tc>
      </w:tr>
      <w:tr>
        <w:trPr>
          <w:cantSplit w:val="0"/>
          <w:tblHeader w:val="0"/>
        </w:trPr>
        <w:tc>
          <w:tcPr>
            <w:shd w:fill="f3f3f3" w:val="clear"/>
          </w:tcPr>
          <w:p w:rsidR="00000000" w:rsidDel="00000000" w:rsidP="00000000" w:rsidRDefault="00000000" w:rsidRPr="00000000" w14:paraId="0000002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rozpoczęcia </w:t>
            </w:r>
          </w:p>
        </w:tc>
        <w:tc>
          <w:tcPr/>
          <w:p w:rsidR="00000000" w:rsidDel="00000000" w:rsidP="00000000" w:rsidRDefault="00000000" w:rsidRPr="00000000" w14:paraId="0000003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2022-01-14</w:t>
            </w:r>
          </w:p>
        </w:tc>
      </w:tr>
      <w:tr>
        <w:trPr>
          <w:cantSplit w:val="0"/>
          <w:tblHeader w:val="0"/>
        </w:trPr>
        <w:tc>
          <w:tcPr>
            <w:shd w:fill="f3f3f3" w:val="clear"/>
          </w:tcPr>
          <w:p w:rsidR="00000000" w:rsidDel="00000000" w:rsidP="00000000" w:rsidRDefault="00000000" w:rsidRPr="00000000" w14:paraId="0000003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wydania decyzji o pozwoleniu na użytkowanie</w:t>
            </w:r>
          </w:p>
        </w:tc>
        <w:tc>
          <w:tcPr/>
          <w:p w:rsidR="00000000" w:rsidDel="00000000" w:rsidP="00000000" w:rsidRDefault="00000000" w:rsidRPr="00000000" w14:paraId="0000003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2023-11-16</w:t>
            </w:r>
          </w:p>
        </w:tc>
      </w:tr>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33">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PRZYKŁAD INNEGO UKOŃCZONEGO PRZEDSIĘWZIĘCIA DEWELOPERSKIEGO</w:t>
            </w:r>
          </w:p>
          <w:p w:rsidR="00000000" w:rsidDel="00000000" w:rsidP="00000000" w:rsidRDefault="00000000" w:rsidRPr="00000000" w14:paraId="00000034">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135" w:hRule="atLeast"/>
          <w:tblHeader w:val="0"/>
        </w:trPr>
        <w:tc>
          <w:tcPr>
            <w:shd w:fill="f3f3f3" w:val="clear"/>
          </w:tcPr>
          <w:p w:rsidR="00000000" w:rsidDel="00000000" w:rsidP="00000000" w:rsidRDefault="00000000" w:rsidRPr="00000000" w14:paraId="0000003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p w:rsidR="00000000" w:rsidDel="00000000" w:rsidP="00000000" w:rsidRDefault="00000000" w:rsidRPr="00000000" w14:paraId="0000003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3f3f3" w:val="clear"/>
          </w:tcPr>
          <w:p w:rsidR="00000000" w:rsidDel="00000000" w:rsidP="00000000" w:rsidRDefault="00000000" w:rsidRPr="00000000" w14:paraId="0000003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rozpoczęcia </w:t>
            </w:r>
          </w:p>
        </w:tc>
        <w:tc>
          <w:tcPr/>
          <w:p w:rsidR="00000000" w:rsidDel="00000000" w:rsidP="00000000" w:rsidRDefault="00000000" w:rsidRPr="00000000" w14:paraId="0000003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3f3f3" w:val="clear"/>
          </w:tcPr>
          <w:p w:rsidR="00000000" w:rsidDel="00000000" w:rsidP="00000000" w:rsidRDefault="00000000" w:rsidRPr="00000000" w14:paraId="0000003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wydania decyzji o pozwoleniu na użytkowanie</w:t>
            </w:r>
          </w:p>
        </w:tc>
        <w:tc>
          <w:tcPr/>
          <w:p w:rsidR="00000000" w:rsidDel="00000000" w:rsidP="00000000" w:rsidRDefault="00000000" w:rsidRPr="00000000" w14:paraId="0000003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3C">
            <w:pPr>
              <w:spacing w:after="28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PRZYKŁAD OSTATNIEGO UKOŃCZONEGO PRZEDSIĘWZIĘCIA DEWELOPERSKIEGO</w:t>
            </w:r>
          </w:p>
          <w:p w:rsidR="00000000" w:rsidDel="00000000" w:rsidP="00000000" w:rsidRDefault="00000000" w:rsidRPr="00000000" w14:paraId="0000003D">
            <w:pPr>
              <w:spacing w:before="280"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135" w:hRule="atLeast"/>
          <w:tblHeader w:val="0"/>
        </w:trPr>
        <w:tc>
          <w:tcPr>
            <w:shd w:fill="f3f3f3" w:val="clear"/>
          </w:tcPr>
          <w:p w:rsidR="00000000" w:rsidDel="00000000" w:rsidP="00000000" w:rsidRDefault="00000000" w:rsidRPr="00000000" w14:paraId="0000003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p w:rsidR="00000000" w:rsidDel="00000000" w:rsidP="00000000" w:rsidRDefault="00000000" w:rsidRPr="00000000" w14:paraId="0000004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3f3f3" w:val="clear"/>
          </w:tcPr>
          <w:p w:rsidR="00000000" w:rsidDel="00000000" w:rsidP="00000000" w:rsidRDefault="00000000" w:rsidRPr="00000000" w14:paraId="0000004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rozpoczęcia </w:t>
            </w:r>
          </w:p>
        </w:tc>
        <w:tc>
          <w:tcPr/>
          <w:p w:rsidR="00000000" w:rsidDel="00000000" w:rsidP="00000000" w:rsidRDefault="00000000" w:rsidRPr="00000000" w14:paraId="0000004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f3f3f3" w:val="clear"/>
          </w:tcPr>
          <w:p w:rsidR="00000000" w:rsidDel="00000000" w:rsidP="00000000" w:rsidRDefault="00000000" w:rsidRPr="00000000" w14:paraId="0000004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wydania decyzji o pozwoleniu na użytkowanie</w:t>
            </w:r>
          </w:p>
        </w:tc>
        <w:tc>
          <w:tcPr/>
          <w:p w:rsidR="00000000" w:rsidDel="00000000" w:rsidP="00000000" w:rsidRDefault="00000000" w:rsidRPr="00000000" w14:paraId="0000004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45">
      <w:pPr>
        <w:spacing w:after="144" w:before="144" w:line="240" w:lineRule="auto"/>
        <w:jc w:val="both"/>
        <w:rPr>
          <w:rFonts w:ascii="Times New Roman" w:cs="Times New Roman" w:eastAsia="Times New Roman" w:hAnsi="Times New Roman"/>
          <w:b w:val="1"/>
          <w:sz w:val="16"/>
          <w:szCs w:val="16"/>
        </w:rPr>
      </w:pPr>
      <w:r w:rsidDel="00000000" w:rsidR="00000000" w:rsidRPr="00000000">
        <w:rPr>
          <w:rtl w:val="0"/>
        </w:rPr>
      </w:r>
    </w:p>
    <w:tbl>
      <w:tblPr>
        <w:tblStyle w:val="Table4"/>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6840"/>
        <w:tblGridChange w:id="0">
          <w:tblGrid>
            <w:gridCol w:w="2808"/>
            <w:gridCol w:w="6840"/>
          </w:tblGrid>
        </w:tblGridChange>
      </w:tblGrid>
      <w:tr>
        <w:trPr>
          <w:cantSplit w:val="0"/>
          <w:tblHeader w:val="0"/>
        </w:trPr>
        <w:tc>
          <w:tcPr>
            <w:shd w:fill="f3f3f3" w:val="clear"/>
          </w:tcPr>
          <w:p w:rsidR="00000000" w:rsidDel="00000000" w:rsidP="00000000" w:rsidRDefault="00000000" w:rsidRPr="00000000" w14:paraId="00000046">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Czy przeciwko deweloperowi prowadzono lub prowadzi się postępowania egzekucyjne na kwotę powyżej 100 000 zł</w:t>
            </w:r>
            <w:r w:rsidDel="00000000" w:rsidR="00000000" w:rsidRPr="00000000">
              <w:rPr>
                <w:rtl w:val="0"/>
              </w:rPr>
            </w:r>
          </w:p>
        </w:tc>
        <w:tc>
          <w:tcPr/>
          <w:p w:rsidR="00000000" w:rsidDel="00000000" w:rsidP="00000000" w:rsidRDefault="00000000" w:rsidRPr="00000000" w14:paraId="0000004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w:t>
            </w:r>
          </w:p>
        </w:tc>
      </w:tr>
    </w:tbl>
    <w:p w:rsidR="00000000" w:rsidDel="00000000" w:rsidP="00000000" w:rsidRDefault="00000000" w:rsidRPr="00000000" w14:paraId="00000048">
      <w:pPr>
        <w:spacing w:after="0" w:before="144" w:line="24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9">
      <w:pPr>
        <w:widowControl w:val="0"/>
        <w:numPr>
          <w:ilvl w:val="0"/>
          <w:numId w:val="8"/>
        </w:numPr>
        <w:spacing w:after="120" w:before="280" w:line="240" w:lineRule="auto"/>
        <w:ind w:left="1077" w:hanging="72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INFORMACJE DOTYCZĄCE NIERUCHOMOŚCI I PRZEDSIĘWZIĘCIA DEWELOPERSKIEGO</w:t>
      </w:r>
    </w:p>
    <w:tbl>
      <w:tblPr>
        <w:tblStyle w:val="Table5"/>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3660"/>
        <w:gridCol w:w="3420"/>
        <w:tblGridChange w:id="0">
          <w:tblGrid>
            <w:gridCol w:w="2565"/>
            <w:gridCol w:w="3660"/>
            <w:gridCol w:w="3420"/>
          </w:tblGrid>
        </w:tblGridChange>
      </w:tblGrid>
      <w:tr>
        <w:trPr>
          <w:cantSplit w:val="0"/>
          <w:tblHeader w:val="0"/>
        </w:trPr>
        <w:tc>
          <w:tcPr>
            <w:gridSpan w:val="3"/>
            <w:tcBorders>
              <w:bottom w:color="000000" w:space="0" w:sz="4" w:val="single"/>
            </w:tcBorders>
            <w:shd w:fill="e0e0e0" w:val="clear"/>
          </w:tcPr>
          <w:p w:rsidR="00000000" w:rsidDel="00000000" w:rsidP="00000000" w:rsidRDefault="00000000" w:rsidRPr="00000000" w14:paraId="0000004A">
            <w:pPr>
              <w:spacing w:after="144" w:before="144"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INFORMACJE DOTYCZĄCE GRUNTU I ZAGOSPODAROWANIA PRZESTRZENNEGO TERENU</w:t>
            </w:r>
          </w:p>
          <w:p w:rsidR="00000000" w:rsidDel="00000000" w:rsidP="00000000" w:rsidRDefault="00000000" w:rsidRPr="00000000" w14:paraId="0000004B">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135" w:hRule="atLeast"/>
          <w:tblHeader w:val="0"/>
        </w:trPr>
        <w:tc>
          <w:tcPr>
            <w:shd w:fill="f3f3f3" w:val="clear"/>
          </w:tcPr>
          <w:p w:rsidR="00000000" w:rsidDel="00000000" w:rsidP="00000000" w:rsidRDefault="00000000" w:rsidRPr="00000000" w14:paraId="0000004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i numer działki ewidencyjnej i obrębu</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tl w:val="0"/>
              </w:rPr>
            </w:r>
          </w:p>
        </w:tc>
        <w:tc>
          <w:tcPr>
            <w:gridSpan w:val="2"/>
          </w:tcPr>
          <w:p w:rsidR="00000000" w:rsidDel="00000000" w:rsidP="00000000" w:rsidRDefault="00000000" w:rsidRPr="00000000" w14:paraId="0000004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Golkowice, Gm. Wieliczka, obręb: 121905_5.0006, działka 118/2 i 119/2</w:t>
            </w:r>
          </w:p>
        </w:tc>
      </w:tr>
      <w:tr>
        <w:trPr>
          <w:cantSplit w:val="0"/>
          <w:trHeight w:val="98" w:hRule="atLeast"/>
          <w:tblHeader w:val="0"/>
        </w:trPr>
        <w:tc>
          <w:tcPr>
            <w:shd w:fill="f3f3f3" w:val="clear"/>
          </w:tcPr>
          <w:p w:rsidR="00000000" w:rsidDel="00000000" w:rsidP="00000000" w:rsidRDefault="00000000" w:rsidRPr="00000000" w14:paraId="0000005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księgi wieczystej </w:t>
            </w:r>
          </w:p>
        </w:tc>
        <w:tc>
          <w:tcPr>
            <w:gridSpan w:val="2"/>
            <w:shd w:fill="auto" w:val="clear"/>
          </w:tcPr>
          <w:p w:rsidR="00000000" w:rsidDel="00000000" w:rsidP="00000000" w:rsidRDefault="00000000" w:rsidRPr="00000000" w14:paraId="0000005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KR1I/00066142/5</w:t>
            </w:r>
          </w:p>
        </w:tc>
      </w:tr>
      <w:tr>
        <w:trPr>
          <w:cantSplit w:val="0"/>
          <w:trHeight w:val="98" w:hRule="atLeast"/>
          <w:tblHeader w:val="0"/>
        </w:trPr>
        <w:tc>
          <w:tcPr>
            <w:shd w:fill="f3f3f3" w:val="clear"/>
          </w:tcPr>
          <w:p w:rsidR="00000000" w:rsidDel="00000000" w:rsidP="00000000" w:rsidRDefault="00000000" w:rsidRPr="00000000" w14:paraId="0000005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Istniejące obciążenia hipoteczne nieruchomości lub wnioski o wpis w dziale czwartym księgi wieczystej</w:t>
            </w:r>
          </w:p>
        </w:tc>
        <w:tc>
          <w:tcPr>
            <w:gridSpan w:val="2"/>
            <w:shd w:fill="auto" w:val="clear"/>
          </w:tcPr>
          <w:p w:rsidR="00000000" w:rsidDel="00000000" w:rsidP="00000000" w:rsidRDefault="00000000" w:rsidRPr="00000000" w14:paraId="0000005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97" w:hRule="atLeast"/>
          <w:tblHeader w:val="0"/>
        </w:trPr>
        <w:tc>
          <w:tcPr>
            <w:shd w:fill="f3f3f3" w:val="clear"/>
          </w:tcPr>
          <w:p w:rsidR="00000000" w:rsidDel="00000000" w:rsidP="00000000" w:rsidRDefault="00000000" w:rsidRPr="00000000" w14:paraId="0000005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braku księgi wieczystej informacja o powierzchni działki i stanie prawnym nieruchomości</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w:t>
            </w:r>
          </w:p>
        </w:tc>
        <w:tc>
          <w:tcPr>
            <w:gridSpan w:val="2"/>
            <w:shd w:fill="auto" w:val="clear"/>
          </w:tcPr>
          <w:p w:rsidR="00000000" w:rsidDel="00000000" w:rsidP="00000000" w:rsidRDefault="00000000" w:rsidRPr="00000000" w14:paraId="0000005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97" w:hRule="atLeast"/>
          <w:tblHeader w:val="0"/>
        </w:trPr>
        <w:tc>
          <w:tcPr>
            <w:shd w:fill="f3f3f3" w:val="clear"/>
          </w:tcPr>
          <w:p w:rsidR="00000000" w:rsidDel="00000000" w:rsidP="00000000" w:rsidRDefault="00000000" w:rsidRPr="00000000" w14:paraId="0000005A">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dotyczące obiektów istniejących położonych w sąsiedztwie inwestycji i wpływających na warunki życia</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B">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320" w:hRule="atLeast"/>
          <w:tblHeader w:val="0"/>
        </w:trPr>
        <w:tc>
          <w:tcPr>
            <w:vMerge w:val="restart"/>
            <w:shd w:fill="f3f3f3" w:val="clear"/>
          </w:tcPr>
          <w:p w:rsidR="00000000" w:rsidDel="00000000" w:rsidP="00000000" w:rsidRDefault="00000000" w:rsidRPr="00000000" w14:paraId="0000005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Akty planowania przestrzennego i inne akty prawne na podstawie przepisów odrębnych na terenie objętym przedsięwzięciem deweloperskim lub zadaniem inwestycyjnym</w:t>
            </w:r>
          </w:p>
          <w:p w:rsidR="00000000" w:rsidDel="00000000" w:rsidP="00000000" w:rsidRDefault="00000000" w:rsidRPr="00000000" w14:paraId="0000005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auto" w:val="clear"/>
          </w:tcPr>
          <w:p w:rsidR="00000000" w:rsidDel="00000000" w:rsidP="00000000" w:rsidRDefault="00000000" w:rsidRPr="00000000" w14:paraId="0000006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ogólny gminy</w:t>
            </w:r>
          </w:p>
        </w:tc>
        <w:tc>
          <w:tcPr>
            <w:shd w:fill="auto" w:val="clear"/>
          </w:tcPr>
          <w:p w:rsidR="00000000" w:rsidDel="00000000" w:rsidP="00000000" w:rsidRDefault="00000000" w:rsidRPr="00000000" w14:paraId="0000006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317" w:hRule="atLeast"/>
          <w:tblHeader w:val="0"/>
        </w:trPr>
        <w:tc>
          <w:tcPr>
            <w:vMerge w:val="continue"/>
            <w:shd w:fill="f3f3f3"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6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Studium uwarunkowań i kierunków zagospodarowania przestrzennego gminy</w:t>
            </w:r>
          </w:p>
        </w:tc>
        <w:tc>
          <w:tcPr>
            <w:shd w:fill="auto" w:val="clear"/>
          </w:tcPr>
          <w:p w:rsidR="00000000" w:rsidDel="00000000" w:rsidP="00000000" w:rsidRDefault="00000000" w:rsidRPr="00000000" w14:paraId="0000006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 miasta i gminy Wieliczka – obszar „B”,</w:t>
            </w:r>
          </w:p>
          <w:p w:rsidR="00000000" w:rsidDel="00000000" w:rsidP="00000000" w:rsidRDefault="00000000" w:rsidRPr="00000000" w14:paraId="0000006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przyjętego uchwałą Nr XVII/232/2016 Rady Miejskiej z dnia 7 kwietnia 2016 r. opublikowaną w</w:t>
            </w:r>
          </w:p>
          <w:p w:rsidR="00000000" w:rsidDel="00000000" w:rsidP="00000000" w:rsidRDefault="00000000" w:rsidRPr="00000000" w14:paraId="0000006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 Urz. Woj. Małop. z 2016 r., poz. 2931, zmienionego: uchwałą Nr XLIII/500/2017 Rady</w:t>
            </w:r>
          </w:p>
          <w:p w:rsidR="00000000" w:rsidDel="00000000" w:rsidP="00000000" w:rsidRDefault="00000000" w:rsidRPr="00000000" w14:paraId="0000006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Miejskiej w Wieliczce z dnia 14 listopada 2017 roku (Dz. Urz. Woj. Małop. z 2017 poz.7775),</w:t>
            </w:r>
          </w:p>
          <w:p w:rsidR="00000000" w:rsidDel="00000000" w:rsidP="00000000" w:rsidRDefault="00000000" w:rsidRPr="00000000" w14:paraId="0000006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wyrokiem sądu II SA/Kr 1275/17 z dnia 22 grudnia 2017 roku (Dz. Urz. Woj. Małop. z 2017</w:t>
            </w:r>
          </w:p>
          <w:p w:rsidR="00000000" w:rsidDel="00000000" w:rsidP="00000000" w:rsidRDefault="00000000" w:rsidRPr="00000000" w14:paraId="0000006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poz. 4561), wyrokiem sądu II SA/Kr 387/21 z dnia 21 maja 2021 roku (zmienionego wyrokiem</w:t>
            </w:r>
          </w:p>
          <w:p w:rsidR="00000000" w:rsidDel="00000000" w:rsidP="00000000" w:rsidRDefault="00000000" w:rsidRPr="00000000" w14:paraId="0000006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sądu II OSK 2350-21 z dnia 19.01.2023r.), wyrokiem sądu II SA/Kr 236/22 z dnia 13 maja 2022</w:t>
            </w:r>
          </w:p>
          <w:p w:rsidR="00000000" w:rsidDel="00000000" w:rsidP="00000000" w:rsidRDefault="00000000" w:rsidRPr="00000000" w14:paraId="0000006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roku, uchwałą Nr XLIX/712/2023 Rady Miejskiej w Wieliczce z dnia 26 stycznia 2023 roku (Dz.</w:t>
            </w:r>
          </w:p>
          <w:p w:rsidR="00000000" w:rsidDel="00000000" w:rsidP="00000000" w:rsidRDefault="00000000" w:rsidRPr="00000000" w14:paraId="0000006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Urz. Woj. Małop. z 2023 poz. 1305);.</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317" w:hRule="atLeast"/>
          <w:tblHeader w:val="0"/>
        </w:trPr>
        <w:tc>
          <w:tcPr>
            <w:vMerge w:val="continue"/>
            <w:shd w:fill="f3f3f3"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highlight w:val="white"/>
              </w:rPr>
            </w:pPr>
            <w:r w:rsidDel="00000000" w:rsidR="00000000" w:rsidRPr="00000000">
              <w:rPr>
                <w:rtl w:val="0"/>
              </w:rPr>
            </w:r>
          </w:p>
        </w:tc>
        <w:tc>
          <w:tcPr>
            <w:shd w:fill="auto" w:val="clear"/>
          </w:tcPr>
          <w:p w:rsidR="00000000" w:rsidDel="00000000" w:rsidP="00000000" w:rsidRDefault="00000000" w:rsidRPr="00000000" w14:paraId="0000006F">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w:t>
            </w:r>
          </w:p>
        </w:tc>
        <w:tc>
          <w:tcPr>
            <w:shd w:fill="auto" w:val="cle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UCHWAŁA Nr XVII/232/2016 RADY MIEJSKIEJ W WIELICZCE z dnia 7 kwietnia 2016 r. w sprawie uchwalenia miejscowego planu zagospodarowania przestrzennego miasta i gminy Wieliczka - obszar "B"</w:t>
            </w:r>
            <w:r w:rsidDel="00000000" w:rsidR="00000000" w:rsidRPr="00000000">
              <w:rPr>
                <w:rtl w:val="0"/>
              </w:rPr>
            </w:r>
          </w:p>
        </w:tc>
      </w:tr>
      <w:tr>
        <w:trPr>
          <w:cantSplit w:val="0"/>
          <w:trHeight w:val="317" w:hRule="atLeast"/>
          <w:tblHeader w:val="0"/>
        </w:trPr>
        <w:tc>
          <w:tcPr>
            <w:vMerge w:val="continue"/>
            <w:shd w:fill="f3f3f3"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7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rewitalizacji</w:t>
            </w:r>
          </w:p>
        </w:tc>
        <w:tc>
          <w:tcPr>
            <w:shd w:fill="auto" w:val="cle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317" w:hRule="atLeast"/>
          <w:tblHeader w:val="0"/>
        </w:trPr>
        <w:tc>
          <w:tcPr>
            <w:vMerge w:val="continue"/>
            <w:shd w:fill="f3f3f3"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7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odbudowy </w:t>
            </w:r>
          </w:p>
        </w:tc>
        <w:tc>
          <w:tcPr>
            <w:shd w:fill="auto" w:val="cle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317" w:hRule="atLeast"/>
          <w:tblHeader w:val="0"/>
        </w:trPr>
        <w:tc>
          <w:tcPr>
            <w:vMerge w:val="continue"/>
            <w:shd w:fill="f3f3f3"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7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Inne</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w:t>
            </w:r>
          </w:p>
        </w:tc>
        <w:tc>
          <w:tcPr>
            <w:shd w:fill="auto" w:val="cle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60" w:hRule="atLeast"/>
          <w:tblHeader w:val="0"/>
        </w:trPr>
        <w:tc>
          <w:tcPr>
            <w:vMerge w:val="restart"/>
            <w:shd w:fill="f3f3f3" w:val="clear"/>
          </w:tcPr>
          <w:p w:rsidR="00000000" w:rsidDel="00000000" w:rsidP="00000000" w:rsidRDefault="00000000" w:rsidRPr="00000000" w14:paraId="0000007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obowiązującego miejscowego planu zagospodarowania przestrzennego dla terenu objętego przedsięwzięciem deweloperskim lub zadaniem inwestycyjnym </w:t>
            </w:r>
          </w:p>
          <w:p w:rsidR="00000000" w:rsidDel="00000000" w:rsidP="00000000" w:rsidRDefault="00000000" w:rsidRPr="00000000" w14:paraId="0000007B">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7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Przeznaczenie terenu</w:t>
            </w:r>
          </w:p>
        </w:tc>
        <w:tc>
          <w:tcPr>
            <w:shd w:fill="auto" w:val="clear"/>
          </w:tcPr>
          <w:p w:rsidR="00000000" w:rsidDel="00000000" w:rsidP="00000000" w:rsidRDefault="00000000" w:rsidRPr="00000000" w14:paraId="0000007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Działki 118/2 oraz 119/2 oznaczone są w miejscowym MPZP symbolem 1MN.1- tereny zabudowy mieszkaniowej jednorodzinnej a ich południowa część jako KDW - tereny tras komunikacyjnych</w:t>
            </w:r>
          </w:p>
        </w:tc>
      </w:tr>
      <w:tr>
        <w:trPr>
          <w:cantSplit w:val="0"/>
          <w:trHeight w:val="51" w:hRule="atLeast"/>
          <w:tblHeader w:val="0"/>
        </w:trPr>
        <w:tc>
          <w:tcPr>
            <w:vMerge w:val="continue"/>
            <w:shd w:fill="f3f3f3"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7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i minimalna intensywność zabudowy</w:t>
            </w:r>
          </w:p>
        </w:tc>
        <w:tc>
          <w:tcPr>
            <w:shd w:fill="auto" w:val="clear"/>
          </w:tcPr>
          <w:p w:rsidR="00000000" w:rsidDel="00000000" w:rsidP="00000000" w:rsidRDefault="00000000" w:rsidRPr="00000000" w14:paraId="0000008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Dla przeznaczenia podstawowego wskaźnik dopuszczalnej powierzchni zainwestowania nie może przekroczyć 30% </w:t>
            </w:r>
          </w:p>
        </w:tc>
      </w:tr>
      <w:tr>
        <w:trPr>
          <w:cantSplit w:val="0"/>
          <w:trHeight w:val="51" w:hRule="atLeast"/>
          <w:tblHeader w:val="0"/>
        </w:trPr>
        <w:tc>
          <w:tcPr>
            <w:vMerge w:val="continue"/>
            <w:shd w:fill="f3f3f3"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8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wysokość zabudowy</w:t>
            </w:r>
          </w:p>
        </w:tc>
        <w:tc>
          <w:tcPr>
            <w:shd w:fill="auto" w:val="clear"/>
          </w:tcPr>
          <w:p w:rsidR="00000000" w:rsidDel="00000000" w:rsidP="00000000" w:rsidRDefault="00000000" w:rsidRPr="00000000" w14:paraId="0000008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11m</w:t>
            </w:r>
          </w:p>
        </w:tc>
      </w:tr>
      <w:tr>
        <w:trPr>
          <w:cantSplit w:val="0"/>
          <w:trHeight w:val="51" w:hRule="atLeast"/>
          <w:tblHeader w:val="0"/>
        </w:trPr>
        <w:tc>
          <w:tcPr>
            <w:vMerge w:val="continue"/>
            <w:shd w:fill="f3f3f3"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8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Minimalny udział procentowy powierzchni biologicznie czynnej</w:t>
            </w:r>
          </w:p>
        </w:tc>
        <w:tc>
          <w:tcPr>
            <w:shd w:fill="auto" w:val="clear"/>
          </w:tcPr>
          <w:p w:rsidR="00000000" w:rsidDel="00000000" w:rsidP="00000000" w:rsidRDefault="00000000" w:rsidRPr="00000000" w14:paraId="0000008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r>
        <w:trPr>
          <w:cantSplit w:val="0"/>
          <w:trHeight w:val="51" w:hRule="atLeast"/>
          <w:tblHeader w:val="0"/>
        </w:trPr>
        <w:tc>
          <w:tcPr>
            <w:vMerge w:val="continue"/>
            <w:shd w:fill="f3f3f3"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8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Minimalna liczba miejsc do parkowania</w:t>
            </w:r>
          </w:p>
        </w:tc>
        <w:tc>
          <w:tcPr>
            <w:shd w:fill="auto" w:val="clear"/>
          </w:tcPr>
          <w:p w:rsidR="00000000" w:rsidDel="00000000" w:rsidP="00000000" w:rsidRDefault="00000000" w:rsidRPr="00000000" w14:paraId="0000008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miejsce postojowe na 1 dom jednorodzinny</w:t>
            </w:r>
          </w:p>
        </w:tc>
      </w:tr>
      <w:tr>
        <w:trPr>
          <w:cantSplit w:val="0"/>
          <w:trHeight w:val="28872" w:hRule="atLeast"/>
          <w:tblHeader w:val="0"/>
        </w:trPr>
        <w:tc>
          <w:tcPr>
            <w:vMerge w:val="continue"/>
            <w:shd w:fill="f3f3f3"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8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środowiska i zdrowia ludzi, przyrody i krajobrazu</w:t>
            </w:r>
          </w:p>
        </w:tc>
        <w:tc>
          <w:tcPr>
            <w:shd w:fill="auto" w:val="clear"/>
          </w:tcPr>
          <w:p w:rsidR="00000000" w:rsidDel="00000000" w:rsidP="00000000" w:rsidRDefault="00000000" w:rsidRPr="00000000" w14:paraId="0000008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Ustala się zasady ochrony i kształtowania ładu przestrzennego poprzez:</w:t>
            </w:r>
          </w:p>
          <w:p w:rsidR="00000000" w:rsidDel="00000000" w:rsidP="00000000" w:rsidRDefault="00000000" w:rsidRPr="00000000" w14:paraId="0000008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nakazy:</w:t>
            </w:r>
          </w:p>
          <w:p w:rsidR="00000000" w:rsidDel="00000000" w:rsidP="00000000" w:rsidRDefault="00000000" w:rsidRPr="00000000" w14:paraId="0000008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realizacji zagospodarowania i zabudowy zgodnie z warunkami ustalonymi w planie,</w:t>
            </w:r>
          </w:p>
          <w:p w:rsidR="00000000" w:rsidDel="00000000" w:rsidP="00000000" w:rsidRDefault="00000000" w:rsidRPr="00000000" w14:paraId="0000008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przy zachowaniu zasad ochrony środowiska ustalonych w planie,</w:t>
            </w:r>
          </w:p>
          <w:p w:rsidR="00000000" w:rsidDel="00000000" w:rsidP="00000000" w:rsidRDefault="00000000" w:rsidRPr="00000000" w14:paraId="0000009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lokalizowania zabudowy zgodnie z wyznaczonymi w planie nieprzekraczalnymi liniami</w:t>
            </w:r>
          </w:p>
          <w:p w:rsidR="00000000" w:rsidDel="00000000" w:rsidP="00000000" w:rsidRDefault="00000000" w:rsidRPr="00000000" w14:paraId="0000009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zabudowy, z zastrzeżeniem § 49 ust. 6; w przypadku nie wyznaczenia na rysunku planu</w:t>
            </w:r>
          </w:p>
          <w:p w:rsidR="00000000" w:rsidDel="00000000" w:rsidP="00000000" w:rsidRDefault="00000000" w:rsidRPr="00000000" w14:paraId="0000009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nieprzekraczalnych linii zabudowy obowiązują przepisy odrębne,</w:t>
            </w:r>
          </w:p>
          <w:p w:rsidR="00000000" w:rsidDel="00000000" w:rsidP="00000000" w:rsidRDefault="00000000" w:rsidRPr="00000000" w14:paraId="0000009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realizacji zabudowy i zagospodarowania określonego dla terenów oznaczonych</w:t>
            </w:r>
          </w:p>
          <w:p w:rsidR="00000000" w:rsidDel="00000000" w:rsidP="00000000" w:rsidRDefault="00000000" w:rsidRPr="00000000" w14:paraId="0000009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symbolami MW w sposób kompleksowy w ramach terenu inwestycji, tj. zapewniający</w:t>
            </w:r>
          </w:p>
          <w:p w:rsidR="00000000" w:rsidDel="00000000" w:rsidP="00000000" w:rsidRDefault="00000000" w:rsidRPr="00000000" w14:paraId="0000009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prawidłowość obsługi w zakresie komunikacji i infrastruktury technicznej,</w:t>
            </w:r>
          </w:p>
          <w:p w:rsidR="00000000" w:rsidDel="00000000" w:rsidP="00000000" w:rsidRDefault="00000000" w:rsidRPr="00000000" w14:paraId="0000009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forma i gabaryty budynków, w terenach zabudowy mieszkaniowej jednorodzinnej MN.1</w:t>
            </w:r>
          </w:p>
          <w:p w:rsidR="00000000" w:rsidDel="00000000" w:rsidP="00000000" w:rsidRDefault="00000000" w:rsidRPr="00000000" w14:paraId="0000009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MN.2, powinny nawiązywać do form architektury tradycyjnej; dopuszcza się</w:t>
            </w:r>
          </w:p>
          <w:p w:rsidR="00000000" w:rsidDel="00000000" w:rsidP="00000000" w:rsidRDefault="00000000" w:rsidRPr="00000000" w14:paraId="0000009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możliwość wprowadzenia rozwiązań architektonicznych uwzględniających nowoczesne</w:t>
            </w:r>
          </w:p>
          <w:p w:rsidR="00000000" w:rsidDel="00000000" w:rsidP="00000000" w:rsidRDefault="00000000" w:rsidRPr="00000000" w14:paraId="0000009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technologie w zakresie formy budynku, z zachowaniem warunków zawartych</w:t>
            </w:r>
          </w:p>
          <w:p w:rsidR="00000000" w:rsidDel="00000000" w:rsidP="00000000" w:rsidRDefault="00000000" w:rsidRPr="00000000" w14:paraId="0000009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Rozdziale III,</w:t>
            </w:r>
          </w:p>
          <w:p w:rsidR="00000000" w:rsidDel="00000000" w:rsidP="00000000" w:rsidRDefault="00000000" w:rsidRPr="00000000" w14:paraId="0000009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ochrony krajobrazu otwartego, to jest: terenów zieleni nad rzeką Wilgą i potokiem</w:t>
            </w:r>
          </w:p>
          <w:p w:rsidR="00000000" w:rsidDel="00000000" w:rsidP="00000000" w:rsidRDefault="00000000" w:rsidRPr="00000000" w14:paraId="0000009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Zabawka oraz w otoczeniu zabytkowego zespołu dworskiego z parkiem</w:t>
            </w:r>
          </w:p>
          <w:p w:rsidR="00000000" w:rsidDel="00000000" w:rsidP="00000000" w:rsidRDefault="00000000" w:rsidRPr="00000000" w14:paraId="0000009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Śledziejowicach, zróżnicowanych terenów zieleni nieurządzonej przy zbiornikach</w:t>
            </w:r>
          </w:p>
          <w:p w:rsidR="00000000" w:rsidDel="00000000" w:rsidP="00000000" w:rsidRDefault="00000000" w:rsidRPr="00000000" w14:paraId="0000009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wodnych oraz rowach melioracyjnych i kanałach odwadniających, charakteryzujących się</w:t>
            </w:r>
          </w:p>
          <w:p w:rsidR="00000000" w:rsidDel="00000000" w:rsidP="00000000" w:rsidRDefault="00000000" w:rsidRPr="00000000" w14:paraId="0000009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występowaniem cennych przyrodniczo elementów fauny i flory oraz naturalnym</w:t>
            </w:r>
          </w:p>
          <w:p w:rsidR="00000000" w:rsidDel="00000000" w:rsidP="00000000" w:rsidRDefault="00000000" w:rsidRPr="00000000" w14:paraId="000000A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krajobrazem,</w:t>
            </w:r>
          </w:p>
          <w:p w:rsidR="00000000" w:rsidDel="00000000" w:rsidP="00000000" w:rsidRDefault="00000000" w:rsidRPr="00000000" w14:paraId="000000A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zachowania i ochrony obiektów objętych strefami konserwatorskimi, zgodnie</w:t>
            </w:r>
          </w:p>
          <w:p w:rsidR="00000000" w:rsidDel="00000000" w:rsidP="00000000" w:rsidRDefault="00000000" w:rsidRPr="00000000" w14:paraId="000000A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 zasadami ochrony dziedzictwa kulturowego i zabytków zawartymi w § 11,</w:t>
            </w:r>
          </w:p>
          <w:p w:rsidR="00000000" w:rsidDel="00000000" w:rsidP="00000000" w:rsidRDefault="00000000" w:rsidRPr="00000000" w14:paraId="000000A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zapewnienia wysokiej estetyki wykończeniowej budynków przy zastosowaniu</w:t>
            </w:r>
          </w:p>
          <w:p w:rsidR="00000000" w:rsidDel="00000000" w:rsidP="00000000" w:rsidRDefault="00000000" w:rsidRPr="00000000" w14:paraId="000000A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jednakowych materiałów wykończeniowych względnie kolorystyki na poszczególnych</w:t>
            </w:r>
          </w:p>
          <w:p w:rsidR="00000000" w:rsidDel="00000000" w:rsidP="00000000" w:rsidRDefault="00000000" w:rsidRPr="00000000" w14:paraId="000000A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budynkach w ramach działki budowlanej;</w:t>
            </w:r>
          </w:p>
          <w:p w:rsidR="00000000" w:rsidDel="00000000" w:rsidP="00000000" w:rsidRDefault="00000000" w:rsidRPr="00000000" w14:paraId="000000A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zakazy:</w:t>
            </w:r>
          </w:p>
          <w:p w:rsidR="00000000" w:rsidDel="00000000" w:rsidP="00000000" w:rsidRDefault="00000000" w:rsidRPr="00000000" w14:paraId="000000A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lokalizacji obiektów i urządzeń tymczasowych, za wyjątkiem obiektów związanych</w:t>
            </w:r>
          </w:p>
          <w:p w:rsidR="00000000" w:rsidDel="00000000" w:rsidP="00000000" w:rsidRDefault="00000000" w:rsidRPr="00000000" w14:paraId="000000A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 organizacją imprez masowych oraz sezonowych obiektów handlowych</w:t>
            </w:r>
          </w:p>
          <w:p w:rsidR="00000000" w:rsidDel="00000000" w:rsidP="00000000" w:rsidRDefault="00000000" w:rsidRPr="00000000" w14:paraId="000000A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gastronomicznych w terenach sportu i rekreacji oznaczonych na rysunku planu symbolem</w:t>
            </w:r>
          </w:p>
          <w:p w:rsidR="00000000" w:rsidDel="00000000" w:rsidP="00000000" w:rsidRDefault="00000000" w:rsidRPr="00000000" w14:paraId="000000A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 ZP, Z a także organizacji placu budowy (wraz z elementami jego zagospodarowania)</w:t>
            </w:r>
          </w:p>
          <w:p w:rsidR="00000000" w:rsidDel="00000000" w:rsidP="00000000" w:rsidRDefault="00000000" w:rsidRPr="00000000" w14:paraId="000000A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dla realizacji inwestycji ustalonych w planie,</w:t>
            </w:r>
          </w:p>
          <w:p w:rsidR="00000000" w:rsidDel="00000000" w:rsidP="00000000" w:rsidRDefault="00000000" w:rsidRPr="00000000" w14:paraId="000000A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lokalizacji obiektów handlowych o powierzchni sprzedaży powyżej 400m2,</w:t>
            </w:r>
          </w:p>
          <w:p w:rsidR="00000000" w:rsidDel="00000000" w:rsidP="00000000" w:rsidRDefault="00000000" w:rsidRPr="00000000" w14:paraId="000000A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lokalizacji wolnostojących urządzeń reklamowych; dopuszcza się lokalizację tablic</w:t>
            </w:r>
          </w:p>
          <w:p w:rsidR="00000000" w:rsidDel="00000000" w:rsidP="00000000" w:rsidRDefault="00000000" w:rsidRPr="00000000" w14:paraId="000000A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reklamowych i informacyjnych, o których mowa w § 6 pkt 20,</w:t>
            </w:r>
          </w:p>
          <w:p w:rsidR="00000000" w:rsidDel="00000000" w:rsidP="00000000" w:rsidRDefault="00000000" w:rsidRPr="00000000" w14:paraId="000000A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lokalizacji zabudowy poza terenami przeznaczonymi do zabudowy i zainwestowania;</w:t>
            </w:r>
          </w:p>
          <w:p w:rsidR="00000000" w:rsidDel="00000000" w:rsidP="00000000" w:rsidRDefault="00000000" w:rsidRPr="00000000" w14:paraId="000000B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zakaz nie dotyczy istniejących budynków, które mogą być pozostawione do utrzymania,</w:t>
            </w:r>
          </w:p>
          <w:p w:rsidR="00000000" w:rsidDel="00000000" w:rsidP="00000000" w:rsidRDefault="00000000" w:rsidRPr="00000000" w14:paraId="000000B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odpowiednio z możliwością przebudowy, nadbudowy i rozbudowy, według ustaleń</w:t>
            </w:r>
          </w:p>
        </w:tc>
      </w:tr>
      <w:tr>
        <w:trPr>
          <w:cantSplit w:val="0"/>
          <w:trHeight w:val="51" w:hRule="atLeast"/>
          <w:tblHeader w:val="0"/>
        </w:trPr>
        <w:tc>
          <w:tcPr>
            <w:vMerge w:val="continue"/>
            <w:shd w:fill="f3f3f3"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B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zabudowy i zagospodarowania terenu położonego na obszarach szczególnego zagrożenia powodzią</w:t>
            </w:r>
          </w:p>
        </w:tc>
        <w:tc>
          <w:tcPr>
            <w:shd w:fill="auto"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p w:rsidR="00000000" w:rsidDel="00000000" w:rsidP="00000000" w:rsidRDefault="00000000" w:rsidRPr="00000000" w14:paraId="000000B5">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51" w:hRule="atLeast"/>
          <w:tblHeader w:val="0"/>
        </w:trPr>
        <w:tc>
          <w:tcPr>
            <w:vMerge w:val="continue"/>
            <w:shd w:fill="f3f3f3"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B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dziedzictwa kulturowego i zabytków oraz dóbr kultury współczesnej</w:t>
            </w:r>
          </w:p>
        </w:tc>
        <w:tc>
          <w:tcPr>
            <w:shd w:fill="auto" w:val="clear"/>
          </w:tcPr>
          <w:p w:rsidR="00000000" w:rsidDel="00000000" w:rsidP="00000000" w:rsidRDefault="00000000" w:rsidRPr="00000000" w14:paraId="000000B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51" w:hRule="atLeast"/>
          <w:tblHeader w:val="0"/>
        </w:trPr>
        <w:tc>
          <w:tcPr>
            <w:vMerge w:val="continue"/>
            <w:shd w:fill="f3f3f3"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B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ochrony innych terenów lub obiektów podlegających ochronie na podstawie przepisów odrębnych</w:t>
            </w:r>
          </w:p>
        </w:tc>
        <w:tc>
          <w:tcPr>
            <w:shd w:fill="auto" w:val="clear"/>
          </w:tcPr>
          <w:p w:rsidR="00000000" w:rsidDel="00000000" w:rsidP="00000000" w:rsidRDefault="00000000" w:rsidRPr="00000000" w14:paraId="000000B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51" w:hRule="atLeast"/>
          <w:tblHeader w:val="0"/>
        </w:trPr>
        <w:tc>
          <w:tcPr>
            <w:vMerge w:val="continue"/>
            <w:shd w:fill="f3f3f3"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B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komunikacji</w:t>
            </w:r>
          </w:p>
        </w:tc>
        <w:tc>
          <w:tcPr>
            <w:shd w:fill="auto" w:val="clear"/>
          </w:tcPr>
          <w:p w:rsidR="00000000" w:rsidDel="00000000" w:rsidP="00000000" w:rsidRDefault="00000000" w:rsidRPr="00000000" w14:paraId="000000B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Dostęp do drogi publicznej  - Teren inwestycji ma bezpośredni dostęp do drogi publicznej 561013K</w:t>
            </w:r>
          </w:p>
        </w:tc>
      </w:tr>
      <w:tr>
        <w:trPr>
          <w:cantSplit w:val="0"/>
          <w:trHeight w:val="51" w:hRule="atLeast"/>
          <w:tblHeader w:val="0"/>
        </w:trPr>
        <w:tc>
          <w:tcPr>
            <w:vMerge w:val="continue"/>
            <w:shd w:fill="f3f3f3"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C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infrastruktury technicznej</w:t>
            </w:r>
          </w:p>
        </w:tc>
        <w:tc>
          <w:tcPr>
            <w:shd w:fill="auto" w:val="clear"/>
          </w:tcPr>
          <w:p w:rsidR="00000000" w:rsidDel="00000000" w:rsidP="00000000" w:rsidRDefault="00000000" w:rsidRPr="00000000" w14:paraId="000000C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Uchwała Nr XVII/232/2016 Rady Miejskiej w Wieliczce z dnia 7 kwietnia 2016 r.</w:t>
            </w:r>
          </w:p>
        </w:tc>
      </w:tr>
      <w:tr>
        <w:trPr>
          <w:cantSplit w:val="0"/>
          <w:trHeight w:val="288" w:hRule="atLeast"/>
          <w:tblHeader w:val="0"/>
        </w:trPr>
        <w:tc>
          <w:tcPr>
            <w:vMerge w:val="restart"/>
            <w:shd w:fill="f3f3f3" w:val="clear"/>
          </w:tcPr>
          <w:p w:rsidR="00000000" w:rsidDel="00000000" w:rsidP="00000000" w:rsidRDefault="00000000" w:rsidRPr="00000000" w14:paraId="000000C2">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obowiązującego miejscowego planu zagospodarowania przestrzennego dla działek lub ich fragmentów, znajdujących się w odległości do 100 m od granicy terenu objętego przedsięwzięciem deweloperskim lub zadaniem inwestycyjnym</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tl w:val="0"/>
              </w:rPr>
            </w:r>
          </w:p>
        </w:tc>
        <w:tc>
          <w:tcPr>
            <w:shd w:fill="auto" w:val="clear"/>
          </w:tcPr>
          <w:p w:rsidR="00000000" w:rsidDel="00000000" w:rsidP="00000000" w:rsidRDefault="00000000" w:rsidRPr="00000000" w14:paraId="000000C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Przeznaczenie terenu</w:t>
            </w:r>
          </w:p>
        </w:tc>
        <w:tc>
          <w:tcPr>
            <w:shd w:fill="auto" w:val="clear"/>
          </w:tcPr>
          <w:p w:rsidR="00000000" w:rsidDel="00000000" w:rsidP="00000000" w:rsidRDefault="00000000" w:rsidRPr="00000000" w14:paraId="000000C5">
            <w:pPr>
              <w:numPr>
                <w:ilvl w:val="0"/>
                <w:numId w:val="6"/>
              </w:numPr>
              <w:spacing w:after="0" w:before="144"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3KDD - tereny tras komunikacyjnych</w:t>
            </w:r>
          </w:p>
          <w:p w:rsidR="00000000" w:rsidDel="00000000" w:rsidP="00000000" w:rsidRDefault="00000000" w:rsidRPr="00000000" w14:paraId="000000C6">
            <w:pPr>
              <w:numPr>
                <w:ilvl w:val="0"/>
                <w:numId w:val="6"/>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MN.1, 2 MN.1- tereny zabudowy mieszkaniowej jednorodzinnej</w:t>
            </w:r>
          </w:p>
          <w:p w:rsidR="00000000" w:rsidDel="00000000" w:rsidP="00000000" w:rsidRDefault="00000000" w:rsidRPr="00000000" w14:paraId="000000C7">
            <w:pPr>
              <w:numPr>
                <w:ilvl w:val="0"/>
                <w:numId w:val="6"/>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1ZL - tereny lasu </w:t>
            </w:r>
          </w:p>
          <w:p w:rsidR="00000000" w:rsidDel="00000000" w:rsidP="00000000" w:rsidRDefault="00000000" w:rsidRPr="00000000" w14:paraId="000000C8">
            <w:pPr>
              <w:numPr>
                <w:ilvl w:val="0"/>
                <w:numId w:val="6"/>
              </w:numPr>
              <w:spacing w:after="144"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8Z - tereny zieleni nieurządzonej</w:t>
            </w:r>
          </w:p>
        </w:tc>
      </w:tr>
      <w:tr>
        <w:trPr>
          <w:cantSplit w:val="0"/>
          <w:trHeight w:val="288" w:hRule="atLeast"/>
          <w:tblHeader w:val="0"/>
        </w:trPr>
        <w:tc>
          <w:tcPr>
            <w:vMerge w:val="continue"/>
            <w:shd w:fill="f3f3f3"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C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i minimalna intensywność zabudowy</w:t>
            </w:r>
          </w:p>
        </w:tc>
        <w:tc>
          <w:tcPr>
            <w:shd w:fill="auto" w:val="clear"/>
          </w:tcPr>
          <w:p w:rsidR="00000000" w:rsidDel="00000000" w:rsidP="00000000" w:rsidRDefault="00000000" w:rsidRPr="00000000" w14:paraId="000000C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MN.1, 2 MN.1 -  max 50%,</w:t>
            </w:r>
          </w:p>
          <w:p w:rsidR="00000000" w:rsidDel="00000000" w:rsidP="00000000" w:rsidRDefault="00000000" w:rsidRPr="00000000" w14:paraId="000000C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1ZL, 8Z - brak</w:t>
            </w:r>
          </w:p>
        </w:tc>
      </w:tr>
      <w:tr>
        <w:trPr>
          <w:cantSplit w:val="0"/>
          <w:trHeight w:val="288" w:hRule="atLeast"/>
          <w:tblHeader w:val="0"/>
        </w:trPr>
        <w:tc>
          <w:tcPr>
            <w:vMerge w:val="continue"/>
            <w:shd w:fill="f3f3f3"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C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wysokość zabudowy</w:t>
            </w:r>
          </w:p>
        </w:tc>
        <w:tc>
          <w:tcPr>
            <w:shd w:fill="auto" w:val="clear"/>
          </w:tcPr>
          <w:p w:rsidR="00000000" w:rsidDel="00000000" w:rsidP="00000000" w:rsidRDefault="00000000" w:rsidRPr="00000000" w14:paraId="000000C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MN.1, 2 MN.1 - 11m,</w:t>
            </w:r>
          </w:p>
          <w:p w:rsidR="00000000" w:rsidDel="00000000" w:rsidP="00000000" w:rsidRDefault="00000000" w:rsidRPr="00000000" w14:paraId="000000D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1ZL, 8Z - brak</w:t>
            </w:r>
          </w:p>
        </w:tc>
      </w:tr>
      <w:tr>
        <w:trPr>
          <w:cantSplit w:val="0"/>
          <w:trHeight w:val="288" w:hRule="atLeast"/>
          <w:tblHeader w:val="0"/>
        </w:trPr>
        <w:tc>
          <w:tcPr>
            <w:vMerge w:val="continue"/>
            <w:shd w:fill="f3f3f3"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D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Minimalny udział procentowy powierzchni biologicznie czynnej</w:t>
            </w:r>
          </w:p>
        </w:tc>
        <w:tc>
          <w:tcPr>
            <w:shd w:fill="auto" w:val="clear"/>
          </w:tcPr>
          <w:p w:rsidR="00000000" w:rsidDel="00000000" w:rsidP="00000000" w:rsidRDefault="00000000" w:rsidRPr="00000000" w14:paraId="000000D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MN.1, 2 MN.1 - 70%</w:t>
            </w:r>
          </w:p>
          <w:p w:rsidR="00000000" w:rsidDel="00000000" w:rsidP="00000000" w:rsidRDefault="00000000" w:rsidRPr="00000000" w14:paraId="000000D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1ZL, 8Z - brak</w:t>
            </w:r>
          </w:p>
        </w:tc>
      </w:tr>
      <w:tr>
        <w:trPr>
          <w:cantSplit w:val="0"/>
          <w:trHeight w:val="288" w:hRule="atLeast"/>
          <w:tblHeader w:val="0"/>
        </w:trPr>
        <w:tc>
          <w:tcPr>
            <w:vMerge w:val="continue"/>
            <w:shd w:fill="f3f3f3"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D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Minimalna liczba miejsc do parkowania</w:t>
            </w:r>
          </w:p>
        </w:tc>
        <w:tc>
          <w:tcPr>
            <w:shd w:fill="auto" w:val="clear"/>
          </w:tcPr>
          <w:p w:rsidR="00000000" w:rsidDel="00000000" w:rsidP="00000000" w:rsidRDefault="00000000" w:rsidRPr="00000000" w14:paraId="000000D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MN.1, 2 MN.1 - 1 miejsce na 1 dom</w:t>
            </w:r>
          </w:p>
        </w:tc>
      </w:tr>
      <w:tr>
        <w:trPr>
          <w:cantSplit w:val="0"/>
          <w:trHeight w:val="1687" w:hRule="atLeast"/>
          <w:tblHeader w:val="0"/>
        </w:trPr>
        <w:tc>
          <w:tcPr>
            <w:vMerge w:val="restart"/>
            <w:shd w:fill="f3f3f3" w:val="clear"/>
          </w:tcPr>
          <w:p w:rsidR="00000000" w:rsidDel="00000000" w:rsidP="00000000" w:rsidRDefault="00000000" w:rsidRPr="00000000" w14:paraId="000000D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decyzji o warunkach zabudowy albo decyzji o ustaleniu lokalizacji inwestycji celu publicznego dla terenu objętego przedsięwzięciem deweloperskim lub zadaniem inwestycyjnym w przypadku braku miejscowego planu zagospodarowania przestrzennego</w:t>
            </w:r>
          </w:p>
          <w:p w:rsidR="00000000" w:rsidDel="00000000" w:rsidP="00000000" w:rsidRDefault="00000000" w:rsidRPr="00000000" w14:paraId="000000D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DB">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Funkcja zabudowy i zagospodarowania terenu</w:t>
            </w:r>
          </w:p>
        </w:tc>
        <w:tc>
          <w:tcPr>
            <w:shd w:fill="auto" w:val="clear"/>
          </w:tcPr>
          <w:p w:rsidR="00000000" w:rsidDel="00000000" w:rsidP="00000000" w:rsidRDefault="00000000" w:rsidRPr="00000000" w14:paraId="000000DE">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Sposób użytkowania obiektów budowlanych oraz zagospodarowania terenu</w:t>
            </w:r>
          </w:p>
        </w:tc>
      </w:tr>
      <w:tr>
        <w:trPr>
          <w:cantSplit w:val="0"/>
          <w:trHeight w:val="181" w:hRule="atLeast"/>
          <w:tblHeader w:val="0"/>
        </w:trPr>
        <w:tc>
          <w:tcPr>
            <w:vMerge w:val="continue"/>
            <w:shd w:fill="f3f3f3"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E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Cechy zabudowy i zagospodarowania terenu:</w:t>
            </w:r>
          </w:p>
        </w:tc>
      </w:tr>
      <w:tr>
        <w:trPr>
          <w:cantSplit w:val="0"/>
          <w:trHeight w:val="181" w:hRule="atLeast"/>
          <w:tblHeader w:val="0"/>
        </w:trPr>
        <w:tc>
          <w:tcPr>
            <w:vMerge w:val="continue"/>
            <w:shd w:fill="f3f3f3"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E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gabaryty</w:t>
            </w:r>
          </w:p>
        </w:tc>
        <w:tc>
          <w:tcPr>
            <w:shd w:fill="auto" w:val="clear"/>
          </w:tcPr>
          <w:p w:rsidR="00000000" w:rsidDel="00000000" w:rsidP="00000000" w:rsidRDefault="00000000" w:rsidRPr="00000000" w14:paraId="000000E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E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forma architektoniczna</w:t>
            </w:r>
          </w:p>
        </w:tc>
        <w:tc>
          <w:tcPr>
            <w:shd w:fill="auto" w:val="clear"/>
          </w:tcPr>
          <w:p w:rsidR="00000000" w:rsidDel="00000000" w:rsidP="00000000" w:rsidRDefault="00000000" w:rsidRPr="00000000" w14:paraId="000000E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E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usytuowanie linii zabudowy</w:t>
            </w:r>
          </w:p>
        </w:tc>
        <w:tc>
          <w:tcPr>
            <w:shd w:fill="auto" w:val="clear"/>
          </w:tcPr>
          <w:p w:rsidR="00000000" w:rsidDel="00000000" w:rsidP="00000000" w:rsidRDefault="00000000" w:rsidRPr="00000000" w14:paraId="000000E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E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intensywność wykorzystania terenu</w:t>
            </w:r>
          </w:p>
        </w:tc>
        <w:tc>
          <w:tcPr>
            <w:shd w:fill="auto" w:val="clear"/>
          </w:tcPr>
          <w:p w:rsidR="00000000" w:rsidDel="00000000" w:rsidP="00000000" w:rsidRDefault="00000000" w:rsidRPr="00000000" w14:paraId="000000E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F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środowiska i zdrowia ludzi, przyrody i krajobrazu</w:t>
            </w:r>
          </w:p>
        </w:tc>
        <w:tc>
          <w:tcPr>
            <w:shd w:fill="auto" w:val="clear"/>
          </w:tcPr>
          <w:p w:rsidR="00000000" w:rsidDel="00000000" w:rsidP="00000000" w:rsidRDefault="00000000" w:rsidRPr="00000000" w14:paraId="000000F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F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zabudowy i zagospodarowania terenu położonego na obszarach szczególnego zagrożenia powodzią</w:t>
            </w:r>
          </w:p>
        </w:tc>
        <w:tc>
          <w:tcPr>
            <w:shd w:fill="auto" w:val="clear"/>
          </w:tcPr>
          <w:p w:rsidR="00000000" w:rsidDel="00000000" w:rsidP="00000000" w:rsidRDefault="00000000" w:rsidRPr="00000000" w14:paraId="000000F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F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dziedzictwa kulturowego i zabytków oraz dóbr kultury współczesnej</w:t>
            </w:r>
          </w:p>
        </w:tc>
        <w:tc>
          <w:tcPr>
            <w:shd w:fill="auto" w:val="clear"/>
          </w:tcPr>
          <w:p w:rsidR="00000000" w:rsidDel="00000000" w:rsidP="00000000" w:rsidRDefault="00000000" w:rsidRPr="00000000" w14:paraId="000000F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F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ochrony innych terenów lub obiektów podlegających ochronie na podstawie przepisów odrębnych</w:t>
            </w:r>
          </w:p>
        </w:tc>
        <w:tc>
          <w:tcPr>
            <w:shd w:fill="auto" w:val="clear"/>
          </w:tcPr>
          <w:p w:rsidR="00000000" w:rsidDel="00000000" w:rsidP="00000000" w:rsidRDefault="00000000" w:rsidRPr="00000000" w14:paraId="000000F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F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komunikacji</w:t>
            </w:r>
          </w:p>
        </w:tc>
        <w:tc>
          <w:tcPr>
            <w:shd w:fill="auto" w:val="clear"/>
          </w:tcPr>
          <w:p w:rsidR="00000000" w:rsidDel="00000000" w:rsidP="00000000" w:rsidRDefault="00000000" w:rsidRPr="00000000" w14:paraId="000000F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81" w:hRule="atLeast"/>
          <w:tblHeader w:val="0"/>
        </w:trPr>
        <w:tc>
          <w:tcPr>
            <w:vMerge w:val="continue"/>
            <w:shd w:fill="f3f3f3"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0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infrastruktury technicznej</w:t>
            </w:r>
          </w:p>
        </w:tc>
        <w:tc>
          <w:tcPr>
            <w:shd w:fill="auto" w:val="clear"/>
          </w:tcPr>
          <w:p w:rsidR="00000000" w:rsidDel="00000000" w:rsidP="00000000" w:rsidRDefault="00000000" w:rsidRPr="00000000" w14:paraId="0000010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73" w:hRule="atLeast"/>
          <w:tblHeader w:val="0"/>
        </w:trPr>
        <w:tc>
          <w:tcPr>
            <w:vMerge w:val="restart"/>
            <w:shd w:fill="f3f3f3" w:val="clear"/>
          </w:tcPr>
          <w:p w:rsidR="00000000" w:rsidDel="00000000" w:rsidP="00000000" w:rsidRDefault="00000000" w:rsidRPr="00000000" w14:paraId="00000102">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dotyczące przewidzianych inwestycji w promieniu 1 km od przedmiotowej nieruchomości</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zawarte w:</w:t>
            </w:r>
          </w:p>
          <w:p w:rsidR="00000000" w:rsidDel="00000000" w:rsidP="00000000" w:rsidRDefault="00000000" w:rsidRPr="00000000" w14:paraId="0000010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0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miejscowych planach zagospodarowania przestrzennego</w:t>
            </w:r>
          </w:p>
        </w:tc>
        <w:tc>
          <w:tcPr>
            <w:shd w:fill="auto" w:val="clear"/>
          </w:tcPr>
          <w:p w:rsidR="00000000" w:rsidDel="00000000" w:rsidP="00000000" w:rsidRDefault="00000000" w:rsidRPr="00000000" w14:paraId="0000010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inwestycji obowiązują:</w:t>
            </w:r>
          </w:p>
          <w:p w:rsidR="00000000" w:rsidDel="00000000" w:rsidP="00000000" w:rsidRDefault="00000000" w:rsidRPr="00000000" w14:paraId="00000106">
            <w:pPr>
              <w:numPr>
                <w:ilvl w:val="0"/>
                <w:numId w:val="2"/>
              </w:numPr>
              <w:spacing w:after="0" w:afterAutospacing="0" w:before="144"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miejscowy plan zagospodarowania przestrzennego „Wieliczka – Obszar B” (uchwała Nr XVII/232/2016 z dnia 7.04.2016 r.). Plan przewiduje zabudowę mieszkaniową jednorodzinną , mieszkaniowo-usługową, a także usługową </w:t>
            </w:r>
          </w:p>
          <w:p w:rsidR="00000000" w:rsidDel="00000000" w:rsidP="00000000" w:rsidRDefault="00000000" w:rsidRPr="00000000" w14:paraId="00000107">
            <w:pPr>
              <w:numPr>
                <w:ilvl w:val="0"/>
                <w:numId w:val="2"/>
              </w:numPr>
              <w:spacing w:after="0" w:afterAutospacing="0" w:before="0" w:beforeAutospacing="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 Kraków „Zbydniowice” (uchwała Nr LXXII/921/09 Rady Miasta Krakowa z dnia 20 maja 2009 r.). Plan przewiduje głównie zabudowę mieszkaniową jednorodzinną (wolnostojącą i bliźniaczą), z całkowitym zakazem lokalizacji budynków wielorodzinnych. Wyznacza także tereny pod zabudowę usługową, teren sportu i rekreacji, jeden teren obiektu produkcyjnego oraz tereny rolnicze i leśne.</w:t>
            </w:r>
          </w:p>
          <w:p w:rsidR="00000000" w:rsidDel="00000000" w:rsidP="00000000" w:rsidRDefault="00000000" w:rsidRPr="00000000" w14:paraId="00000108">
            <w:pPr>
              <w:numPr>
                <w:ilvl w:val="0"/>
                <w:numId w:val="2"/>
              </w:numPr>
              <w:spacing w:after="0" w:afterAutospacing="0" w:before="0" w:beforeAutospacing="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 Kraków „Wróblowice” (uchwała Nr CVIII/1483/10 Rady Miasta Krakowa z dnia 8 września 2010 r.). Plan przewiduje głównie zabudowę mieszkaniową jednorodzinną (wolnostojącą i bliźniaczą), wprowadzając jednocześnie całkowity zakaz lokalizacji budynków wielorodzinnych. Wyznacza również tereny pod usługi publiczne i komercyjne (z ograniczeniami powierzchni handlowej), sport i rekreację, tereny zielone oraz jeden teren obiektów produkcyjnych. Istotny wpływ na ustalenia planu mają ograniczenia wynikające z położenia na obszarze stref ochronnych Uzdrowiska Swoszowice oraz obszarów ochrony złoża wód leczniczych.</w:t>
            </w:r>
          </w:p>
          <w:p w:rsidR="00000000" w:rsidDel="00000000" w:rsidP="00000000" w:rsidRDefault="00000000" w:rsidRPr="00000000" w14:paraId="00000109">
            <w:pPr>
              <w:numPr>
                <w:ilvl w:val="0"/>
                <w:numId w:val="2"/>
              </w:numPr>
              <w:spacing w:after="0" w:afterAutospacing="0" w:before="0" w:beforeAutospacing="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 Kraków „Rajsko” (uchwała Nr XC/1325/13 Rady Miasta Krakowa z dnia 20 listopada 2013 r.). Zasadniczym celem planu jest ochrona terenów otwartych oraz dopuszczenie zabudowy mieszkaniowej jednorodzinnej o niskiej intensywności (wyłącznie wolnostojącej i bliźniaczej). Dominującą część obszaru stanowią tereny zieleni nieurządzonej, lasy i tereny rolnicze. Kluczowym elementem jest ochrona i wskazanie możliwości adaptacji na cele usługowe zabytkowego Fortu 51 Rajsko. Plan nie wyznacza terenów pod zabudowę produkcyjną ani przemysłową.</w:t>
            </w:r>
          </w:p>
          <w:p w:rsidR="00000000" w:rsidDel="00000000" w:rsidP="00000000" w:rsidRDefault="00000000" w:rsidRPr="00000000" w14:paraId="0000010A">
            <w:pPr>
              <w:numPr>
                <w:ilvl w:val="0"/>
                <w:numId w:val="2"/>
              </w:numPr>
              <w:spacing w:after="240" w:before="0" w:beforeAutospacing="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 Kraków „Soboniowice II” (uchwała Nr XXXI/624/25 Rady Miasta Krakowa z dnia 12 czerwca 2025 r.). Plan ustala jako podstawowe przeznaczenie terenu zabudowę mieszkaniową jednorodzinną (wolnostojącą i bliźniaczą) oraz mieszkaniowo-usługową, przy jednoczesnym zachowaniu dużego udziału terenów rolnych, leśnych i zieleni urządzonej. Kluczowym celem jest ochrona wartości przyrodniczych i krajobrazowych, historycznego zespołu dworsko-parkowego w Soboniowicach oraz uregulowanie zasad zabudowy na terenach zagrożonych ruchami masowymi ziemi. Plan nie wyznacza terenów pod działalność produkcyjną lub przemysłową.</w:t>
            </w:r>
          </w:p>
          <w:p w:rsidR="00000000" w:rsidDel="00000000" w:rsidP="00000000" w:rsidRDefault="00000000" w:rsidRPr="00000000" w14:paraId="0000010B">
            <w:pPr>
              <w:spacing w:after="144" w:before="144" w:line="240"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Wymienione plany zagospodarowania planują budowę ul. Nowa Sławka. W miejscowych planach zagospodarowania przestrzennego dla obszarów Krakowa oraz gminy Wieliczka (obszar „B”), ulica Nowa Sławka jest projektowaną drogą publiczną klasy „Z”, w planie gminy Wieliczka oznaczona jako droga lokalna. W obszarze gminy Wieliczka  droga przebiega w odległości ok 560 m od inwestycji. Trasa ta ma zapewnić powiązanie południowych rejonów miasta (Wróblowice, Zbydniowice) z zewnętrzną siecią drogową oraz znajdując swoją kontynuację na terenie gminy Wieliczka w rejonie Golkowic. Zgodnie z zapisami planów, oprócz obsługi ruchu samochodowego, trasa ta została również wyznaczona jako główny ciąg rowerowy dla tego obszaru.</w:t>
            </w:r>
          </w:p>
        </w:tc>
      </w:tr>
      <w:tr>
        <w:trPr>
          <w:cantSplit w:val="0"/>
          <w:trHeight w:val="71" w:hRule="atLeast"/>
          <w:tblHeader w:val="0"/>
        </w:trPr>
        <w:tc>
          <w:tcPr>
            <w:vMerge w:val="continue"/>
            <w:shd w:fill="f3f3f3"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0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studium uwarunkowań i kierunków zagospodarowania przestrzennego gminy </w:t>
            </w:r>
          </w:p>
        </w:tc>
        <w:tc>
          <w:tcPr>
            <w:shd w:fill="auto" w:val="clear"/>
          </w:tcPr>
          <w:p w:rsidR="00000000" w:rsidDel="00000000" w:rsidP="00000000" w:rsidRDefault="00000000" w:rsidRPr="00000000" w14:paraId="0000010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71" w:hRule="atLeast"/>
          <w:tblHeader w:val="0"/>
        </w:trPr>
        <w:tc>
          <w:tcPr>
            <w:vMerge w:val="continue"/>
            <w:shd w:fill="f3f3f3"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11">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decyzjach o warunkach zabudowy i zagospodarowania terenu</w:t>
            </w:r>
          </w:p>
        </w:tc>
        <w:tc>
          <w:tcPr>
            <w:shd w:fill="auto" w:val="clear"/>
          </w:tcPr>
          <w:p w:rsidR="00000000" w:rsidDel="00000000" w:rsidP="00000000" w:rsidRDefault="00000000" w:rsidRPr="00000000" w14:paraId="00000112">
            <w:pPr>
              <w:spacing w:after="144" w:before="144"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Brak</w:t>
            </w:r>
            <w:r w:rsidDel="00000000" w:rsidR="00000000" w:rsidRPr="00000000">
              <w:rPr>
                <w:rtl w:val="0"/>
              </w:rPr>
            </w:r>
          </w:p>
        </w:tc>
      </w:tr>
      <w:tr>
        <w:trPr>
          <w:cantSplit w:val="0"/>
          <w:trHeight w:val="71" w:hRule="atLeast"/>
          <w:tblHeader w:val="0"/>
        </w:trPr>
        <w:tc>
          <w:tcPr>
            <w:vMerge w:val="continue"/>
            <w:shd w:fill="f3f3f3"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0"/>
                <w:szCs w:val="20"/>
              </w:rPr>
            </w:pPr>
            <w:r w:rsidDel="00000000" w:rsidR="00000000" w:rsidRPr="00000000">
              <w:rPr>
                <w:rtl w:val="0"/>
              </w:rPr>
            </w:r>
          </w:p>
        </w:tc>
        <w:tc>
          <w:tcPr>
            <w:shd w:fill="auto" w:val="clear"/>
          </w:tcPr>
          <w:p w:rsidR="00000000" w:rsidDel="00000000" w:rsidP="00000000" w:rsidRDefault="00000000" w:rsidRPr="00000000" w14:paraId="0000011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decyzjach o środowiskowych uwarunkowaniach</w:t>
            </w:r>
          </w:p>
        </w:tc>
        <w:tc>
          <w:tcPr>
            <w:shd w:fill="auto" w:val="clear"/>
          </w:tcPr>
          <w:p w:rsidR="00000000" w:rsidDel="00000000" w:rsidP="00000000" w:rsidRDefault="00000000" w:rsidRPr="00000000" w14:paraId="0000011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71" w:hRule="atLeast"/>
          <w:tblHeader w:val="0"/>
        </w:trPr>
        <w:tc>
          <w:tcPr>
            <w:vMerge w:val="continue"/>
            <w:shd w:fill="f3f3f3"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1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decyzjach o obszarach ograniczonego użytkowania</w:t>
            </w:r>
          </w:p>
        </w:tc>
        <w:tc>
          <w:tcPr>
            <w:shd w:fill="auto" w:val="clear"/>
          </w:tcPr>
          <w:p w:rsidR="00000000" w:rsidDel="00000000" w:rsidP="00000000" w:rsidRDefault="00000000" w:rsidRPr="00000000" w14:paraId="0000011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71" w:hRule="atLeast"/>
          <w:tblHeader w:val="0"/>
        </w:trPr>
        <w:tc>
          <w:tcPr>
            <w:vMerge w:val="continue"/>
            <w:shd w:fill="f3f3f3"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1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miejscowych planach odbudowy</w:t>
            </w:r>
          </w:p>
        </w:tc>
        <w:tc>
          <w:tcPr>
            <w:shd w:fill="auto" w:val="clear"/>
          </w:tcPr>
          <w:p w:rsidR="00000000" w:rsidDel="00000000" w:rsidP="00000000" w:rsidRDefault="00000000" w:rsidRPr="00000000" w14:paraId="0000011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71" w:hRule="atLeast"/>
          <w:tblHeader w:val="0"/>
        </w:trPr>
        <w:tc>
          <w:tcPr>
            <w:vMerge w:val="continue"/>
            <w:shd w:fill="f3f3f3"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1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mapach zagrożenia powodziowego i mapach ryzyka powodziowego</w:t>
            </w:r>
          </w:p>
        </w:tc>
        <w:tc>
          <w:tcPr>
            <w:shd w:fill="auto" w:val="clear"/>
          </w:tcPr>
          <w:p w:rsidR="00000000" w:rsidDel="00000000" w:rsidP="00000000" w:rsidRDefault="00000000" w:rsidRPr="00000000" w14:paraId="0000011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71" w:hRule="atLeast"/>
          <w:tblHeader w:val="0"/>
        </w:trPr>
        <w:tc>
          <w:tcPr>
            <w:vMerge w:val="continue"/>
            <w:shd w:fill="f3f3f3"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12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decyzji w zakresie rozmieszczenia inwestycji celu publicznego, mogące mieć znaczenie dla terenu objętego przedsięwzięciem deweloperskim lub zadaniem inwestycyjnym:</w:t>
            </w:r>
          </w:p>
          <w:p w:rsidR="00000000" w:rsidDel="00000000" w:rsidP="00000000" w:rsidRDefault="00000000" w:rsidRPr="00000000" w14:paraId="0000012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4" w:hRule="atLeast"/>
          <w:tblHeader w:val="0"/>
        </w:trPr>
        <w:tc>
          <w:tcPr>
            <w:vMerge w:val="continue"/>
            <w:shd w:fill="f3f3f3"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2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zezwoleniu na realizację inwestycji drogowej</w:t>
            </w:r>
          </w:p>
        </w:tc>
        <w:tc>
          <w:tcPr>
            <w:shd w:fill="auto" w:val="clear"/>
          </w:tcPr>
          <w:p w:rsidR="00000000" w:rsidDel="00000000" w:rsidP="00000000" w:rsidRDefault="00000000" w:rsidRPr="00000000" w14:paraId="0000012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2KDL w planie Wieliczka Obszar B. ul. Nowa Sławka</w:t>
            </w:r>
          </w:p>
        </w:tc>
      </w:tr>
      <w:tr>
        <w:trPr>
          <w:cantSplit w:val="0"/>
          <w:trHeight w:val="81" w:hRule="atLeast"/>
          <w:tblHeader w:val="0"/>
        </w:trPr>
        <w:tc>
          <w:tcPr>
            <w:vMerge w:val="continue"/>
            <w:shd w:fill="f3f3f3"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2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linii kolejowej</w:t>
            </w:r>
          </w:p>
        </w:tc>
        <w:tc>
          <w:tcPr>
            <w:shd w:fill="auto" w:val="clear"/>
          </w:tcPr>
          <w:p w:rsidR="00000000" w:rsidDel="00000000" w:rsidP="00000000" w:rsidRDefault="00000000" w:rsidRPr="00000000" w14:paraId="0000012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2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zezwoleniu na realizację inwestycji w zakresie lotniska użytku publicznego</w:t>
            </w:r>
          </w:p>
        </w:tc>
        <w:tc>
          <w:tcPr>
            <w:shd w:fill="auto" w:val="clear"/>
          </w:tcPr>
          <w:p w:rsidR="00000000" w:rsidDel="00000000" w:rsidP="00000000" w:rsidRDefault="00000000" w:rsidRPr="00000000" w14:paraId="0000012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2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pozwoleniu na realizację inwestycji w zakresie budowli przeciwpowodziowych</w:t>
            </w:r>
          </w:p>
        </w:tc>
        <w:tc>
          <w:tcPr>
            <w:shd w:fill="auto" w:val="clear"/>
          </w:tcPr>
          <w:p w:rsidR="00000000" w:rsidDel="00000000" w:rsidP="00000000" w:rsidRDefault="00000000" w:rsidRPr="00000000" w14:paraId="0000012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inwestycji w zakresie budowy obiektu energetyki jądrowej</w:t>
            </w:r>
          </w:p>
        </w:tc>
        <w:tc>
          <w:tcPr>
            <w:shd w:fill="auto" w:val="clear"/>
          </w:tcPr>
          <w:p w:rsidR="00000000" w:rsidDel="00000000" w:rsidP="00000000" w:rsidRDefault="00000000" w:rsidRPr="00000000" w14:paraId="0000013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strategicznej inwestycji w zakresie sieci przesyłowej</w:t>
            </w:r>
          </w:p>
        </w:tc>
        <w:tc>
          <w:tcPr>
            <w:shd w:fill="auto" w:val="clear"/>
          </w:tcPr>
          <w:p w:rsidR="00000000" w:rsidDel="00000000" w:rsidP="00000000" w:rsidRDefault="00000000" w:rsidRPr="00000000" w14:paraId="0000013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regionalnej sieci szerokopasmowej</w:t>
            </w:r>
          </w:p>
        </w:tc>
        <w:tc>
          <w:tcPr>
            <w:shd w:fill="auto" w:val="clear"/>
          </w:tcPr>
          <w:p w:rsidR="00000000" w:rsidDel="00000000" w:rsidP="00000000" w:rsidRDefault="00000000" w:rsidRPr="00000000" w14:paraId="0000013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inwestycji w zakresie Centralnego Portu Komunikacyjnego </w:t>
            </w:r>
          </w:p>
        </w:tc>
        <w:tc>
          <w:tcPr>
            <w:shd w:fill="auto" w:val="clear"/>
          </w:tcPr>
          <w:p w:rsidR="00000000" w:rsidDel="00000000" w:rsidP="00000000" w:rsidRDefault="00000000" w:rsidRPr="00000000" w14:paraId="0000013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zezwoleniu na realizację inwestycji w zakresie infrastruktury dostępowej</w:t>
            </w:r>
          </w:p>
        </w:tc>
        <w:tc>
          <w:tcPr>
            <w:shd w:fill="auto" w:val="clear"/>
          </w:tcPr>
          <w:p w:rsidR="00000000" w:rsidDel="00000000" w:rsidP="00000000" w:rsidRDefault="00000000" w:rsidRPr="00000000" w14:paraId="0000013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81" w:hRule="atLeast"/>
          <w:tblHeader w:val="0"/>
        </w:trPr>
        <w:tc>
          <w:tcPr>
            <w:vMerge w:val="continue"/>
            <w:shd w:fill="f3f3f3"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strategicznej inwestycji w sektorze naftowym</w:t>
            </w:r>
          </w:p>
        </w:tc>
        <w:tc>
          <w:tcPr>
            <w:shd w:fill="auto" w:val="clear"/>
          </w:tcPr>
          <w:p w:rsidR="00000000" w:rsidDel="00000000" w:rsidP="00000000" w:rsidRDefault="00000000" w:rsidRPr="00000000" w14:paraId="0000014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rHeight w:val="390" w:hRule="atLeast"/>
          <w:tblHeader w:val="0"/>
        </w:trPr>
        <w:tc>
          <w:tcPr>
            <w:gridSpan w:val="3"/>
            <w:shd w:fill="d9d9d9" w:val="clear"/>
          </w:tcPr>
          <w:p w:rsidR="00000000" w:rsidDel="00000000" w:rsidP="00000000" w:rsidRDefault="00000000" w:rsidRPr="00000000" w14:paraId="00000141">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INFORMACJE DOTYCZĄCE BUDYNKU</w:t>
            </w:r>
          </w:p>
          <w:p w:rsidR="00000000" w:rsidDel="00000000" w:rsidP="00000000" w:rsidRDefault="00000000" w:rsidRPr="00000000" w14:paraId="00000142">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390" w:hRule="atLeast"/>
          <w:tblHeader w:val="0"/>
        </w:trPr>
        <w:tc>
          <w:tcPr>
            <w:shd w:fill="f3f3f3" w:val="clear"/>
          </w:tcPr>
          <w:p w:rsidR="00000000" w:rsidDel="00000000" w:rsidP="00000000" w:rsidRDefault="00000000" w:rsidRPr="00000000" w14:paraId="0000014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Czy jest pozwolenie na budowę</w:t>
              <w:br w:type="textWrapping"/>
            </w:r>
          </w:p>
        </w:tc>
        <w:tc>
          <w:tcPr>
            <w:shd w:fill="auto" w:val="clear"/>
            <w:vAlign w:val="center"/>
          </w:tcPr>
          <w:p w:rsidR="00000000" w:rsidDel="00000000" w:rsidP="00000000" w:rsidRDefault="00000000" w:rsidRPr="00000000" w14:paraId="00000146">
            <w:pPr>
              <w:spacing w:after="144" w:before="144"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47">
            <w:pPr>
              <w:spacing w:after="144" w:before="144" w:line="240" w:lineRule="auto"/>
              <w:jc w:val="center"/>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nie*</w:t>
            </w:r>
          </w:p>
        </w:tc>
      </w:tr>
      <w:tr>
        <w:trPr>
          <w:cantSplit w:val="0"/>
          <w:trHeight w:val="390" w:hRule="atLeast"/>
          <w:tblHeader w:val="0"/>
        </w:trPr>
        <w:tc>
          <w:tcPr>
            <w:shd w:fill="f3f3f3" w:val="clear"/>
          </w:tcPr>
          <w:p w:rsidR="00000000" w:rsidDel="00000000" w:rsidP="00000000" w:rsidRDefault="00000000" w:rsidRPr="00000000" w14:paraId="0000014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Czy pozwolenie na budowę jest ostateczne</w:t>
            </w:r>
          </w:p>
        </w:tc>
        <w:tc>
          <w:tcPr>
            <w:shd w:fill="auto" w:val="clear"/>
            <w:vAlign w:val="center"/>
          </w:tcPr>
          <w:p w:rsidR="00000000" w:rsidDel="00000000" w:rsidP="00000000" w:rsidRDefault="00000000" w:rsidRPr="00000000" w14:paraId="00000149">
            <w:pPr>
              <w:spacing w:after="144" w:before="144"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w:t>
            </w:r>
          </w:p>
        </w:tc>
        <w:tc>
          <w:tcPr>
            <w:shd w:fill="auto" w:val="clear"/>
            <w:vAlign w:val="center"/>
          </w:tcPr>
          <w:p w:rsidR="00000000" w:rsidDel="00000000" w:rsidP="00000000" w:rsidRDefault="00000000" w:rsidRPr="00000000" w14:paraId="0000014A">
            <w:pPr>
              <w:spacing w:after="144" w:before="144" w:line="240" w:lineRule="auto"/>
              <w:jc w:val="center"/>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nie*</w:t>
            </w:r>
          </w:p>
        </w:tc>
      </w:tr>
      <w:tr>
        <w:trPr>
          <w:cantSplit w:val="0"/>
          <w:trHeight w:val="390" w:hRule="atLeast"/>
          <w:tblHeader w:val="0"/>
        </w:trPr>
        <w:tc>
          <w:tcPr>
            <w:shd w:fill="f3f3f3" w:val="clear"/>
          </w:tcPr>
          <w:p w:rsidR="00000000" w:rsidDel="00000000" w:rsidP="00000000" w:rsidRDefault="00000000" w:rsidRPr="00000000" w14:paraId="0000014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Czy pozwolenie na budowę jest zaskarżone</w:t>
            </w:r>
          </w:p>
        </w:tc>
        <w:tc>
          <w:tcPr>
            <w:shd w:fill="auto" w:val="clear"/>
            <w:vAlign w:val="center"/>
          </w:tcPr>
          <w:p w:rsidR="00000000" w:rsidDel="00000000" w:rsidP="00000000" w:rsidRDefault="00000000" w:rsidRPr="00000000" w14:paraId="0000014C">
            <w:pPr>
              <w:spacing w:after="144" w:before="144" w:line="240" w:lineRule="auto"/>
              <w:jc w:val="center"/>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tak*</w:t>
            </w:r>
          </w:p>
        </w:tc>
        <w:tc>
          <w:tcPr>
            <w:shd w:fill="auto" w:val="clear"/>
            <w:vAlign w:val="center"/>
          </w:tcPr>
          <w:p w:rsidR="00000000" w:rsidDel="00000000" w:rsidP="00000000" w:rsidRDefault="00000000" w:rsidRPr="00000000" w14:paraId="0000014D">
            <w:pPr>
              <w:spacing w:after="144" w:before="144"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w:t>
            </w:r>
          </w:p>
        </w:tc>
      </w:tr>
      <w:tr>
        <w:trPr>
          <w:cantSplit w:val="0"/>
          <w:trHeight w:val="195" w:hRule="atLeast"/>
          <w:tblHeader w:val="0"/>
        </w:trPr>
        <w:tc>
          <w:tcPr>
            <w:shd w:fill="f3f3f3" w:val="clear"/>
          </w:tcPr>
          <w:p w:rsidR="00000000" w:rsidDel="00000000" w:rsidP="00000000" w:rsidRDefault="00000000" w:rsidRPr="00000000" w14:paraId="0000014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pozwolenia na budowę oraz nazwa organu, który je wydał</w:t>
            </w:r>
          </w:p>
        </w:tc>
        <w:tc>
          <w:tcPr>
            <w:gridSpan w:val="2"/>
            <w:shd w:fill="auto" w:val="clear"/>
          </w:tcPr>
          <w:p w:rsidR="00000000" w:rsidDel="00000000" w:rsidP="00000000" w:rsidRDefault="00000000" w:rsidRPr="00000000" w14:paraId="0000014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Pierwotne pozwolenie na budowę - decyzja nr 170.2023, zamienne pozwolenie na budowę decyzja 1016.2024</w:t>
            </w:r>
          </w:p>
        </w:tc>
      </w:tr>
      <w:tr>
        <w:trPr>
          <w:cantSplit w:val="0"/>
          <w:trHeight w:val="195" w:hRule="atLeast"/>
          <w:tblHeader w:val="0"/>
        </w:trPr>
        <w:tc>
          <w:tcPr>
            <w:shd w:fill="f3f3f3" w:val="clear"/>
          </w:tcPr>
          <w:p w:rsidR="00000000" w:rsidDel="00000000" w:rsidP="00000000" w:rsidRDefault="00000000" w:rsidRPr="00000000" w14:paraId="0000015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uprawomocnienia się decyzji o pozwoleniu na użytkowanie budynku</w:t>
            </w:r>
          </w:p>
        </w:tc>
        <w:tc>
          <w:tcPr>
            <w:gridSpan w:val="2"/>
            <w:shd w:fill="auto" w:val="clear"/>
          </w:tcPr>
          <w:p w:rsidR="00000000" w:rsidDel="00000000" w:rsidP="00000000" w:rsidRDefault="00000000" w:rsidRPr="00000000" w14:paraId="0000015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2024.06.17</w:t>
            </w:r>
          </w:p>
        </w:tc>
      </w:tr>
      <w:tr>
        <w:trPr>
          <w:cantSplit w:val="0"/>
          <w:trHeight w:val="195" w:hRule="atLeast"/>
          <w:tblHeader w:val="0"/>
        </w:trPr>
        <w:tc>
          <w:tcPr>
            <w:shd w:fill="f3f3f3" w:val="clear"/>
          </w:tcPr>
          <w:p w:rsidR="00000000" w:rsidDel="00000000" w:rsidP="00000000" w:rsidRDefault="00000000" w:rsidRPr="00000000" w14:paraId="0000015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zakończenia budowy domu jednorodzinnego </w:t>
            </w:r>
          </w:p>
        </w:tc>
        <w:tc>
          <w:tcPr>
            <w:gridSpan w:val="2"/>
            <w:shd w:fill="auto" w:val="clear"/>
          </w:tcPr>
          <w:p w:rsidR="00000000" w:rsidDel="00000000" w:rsidP="00000000" w:rsidRDefault="00000000" w:rsidRPr="00000000" w14:paraId="0000015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95" w:hRule="atLeast"/>
          <w:tblHeader w:val="0"/>
        </w:trPr>
        <w:tc>
          <w:tcPr>
            <w:shd w:fill="f3f3f3" w:val="clear"/>
          </w:tcPr>
          <w:p w:rsidR="00000000" w:rsidDel="00000000" w:rsidP="00000000" w:rsidRDefault="00000000" w:rsidRPr="00000000" w14:paraId="0000015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Planowany termin rozpoczęcia i zakończenia robót budowlanych</w:t>
            </w:r>
          </w:p>
        </w:tc>
        <w:tc>
          <w:tcPr>
            <w:gridSpan w:val="2"/>
            <w:shd w:fill="auto" w:val="clear"/>
          </w:tcPr>
          <w:p w:rsidR="00000000" w:rsidDel="00000000" w:rsidP="00000000" w:rsidRDefault="00000000" w:rsidRPr="00000000" w14:paraId="0000015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2024-12-09 - 2026-03-31</w:t>
            </w:r>
          </w:p>
        </w:tc>
      </w:tr>
      <w:tr>
        <w:trPr>
          <w:cantSplit w:val="0"/>
          <w:trHeight w:val="325" w:hRule="atLeast"/>
          <w:tblHeader w:val="0"/>
        </w:trPr>
        <w:tc>
          <w:tcPr>
            <w:vMerge w:val="restart"/>
            <w:shd w:fill="f3f3f3" w:val="clear"/>
          </w:tcPr>
          <w:p w:rsidR="00000000" w:rsidDel="00000000" w:rsidP="00000000" w:rsidRDefault="00000000" w:rsidRPr="00000000" w14:paraId="0000015A">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B">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Opis przedsięwzięcia deweloperskiego albo zadania inwestycyjnego</w:t>
            </w:r>
          </w:p>
          <w:p w:rsidR="00000000" w:rsidDel="00000000" w:rsidP="00000000" w:rsidRDefault="00000000" w:rsidRPr="00000000" w14:paraId="0000015C">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5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Liczba budynków </w:t>
            </w:r>
          </w:p>
        </w:tc>
        <w:tc>
          <w:tcPr>
            <w:shd w:fill="auto" w:val="clear"/>
          </w:tcPr>
          <w:p w:rsidR="00000000" w:rsidDel="00000000" w:rsidP="00000000" w:rsidRDefault="00000000" w:rsidRPr="00000000" w14:paraId="0000015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325" w:hRule="atLeast"/>
          <w:tblHeader w:val="0"/>
        </w:trPr>
        <w:tc>
          <w:tcPr>
            <w:vMerge w:val="continue"/>
            <w:shd w:fill="f3f3f3"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6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Rozmieszczenie budynków na nieruchomości (należy podać minimalny odstęp między budynkami)</w:t>
            </w:r>
          </w:p>
        </w:tc>
        <w:tc>
          <w:tcPr>
            <w:shd w:fill="auto" w:val="clear"/>
          </w:tcPr>
          <w:p w:rsidR="00000000" w:rsidDel="00000000" w:rsidP="00000000" w:rsidRDefault="00000000" w:rsidRPr="00000000" w14:paraId="0000016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17m</w:t>
            </w:r>
          </w:p>
        </w:tc>
      </w:tr>
      <w:tr>
        <w:trPr>
          <w:cantSplit w:val="0"/>
          <w:trHeight w:val="488" w:hRule="atLeast"/>
          <w:tblHeader w:val="0"/>
        </w:trPr>
        <w:tc>
          <w:tcPr>
            <w:shd w:fill="f3f3f3" w:val="clear"/>
          </w:tcPr>
          <w:p w:rsidR="00000000" w:rsidDel="00000000" w:rsidP="00000000" w:rsidRDefault="00000000" w:rsidRPr="00000000" w14:paraId="0000016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Sposób pomiaru powierzchni użytkowej lokalu mieszkalnego albo domu jednorodzinnego</w:t>
            </w:r>
          </w:p>
        </w:tc>
        <w:tc>
          <w:tcPr>
            <w:gridSpan w:val="2"/>
            <w:shd w:fill="auto" w:val="clear"/>
          </w:tcPr>
          <w:p w:rsidR="00000000" w:rsidDel="00000000" w:rsidP="00000000" w:rsidRDefault="00000000" w:rsidRPr="00000000" w14:paraId="0000016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Norma PN-ISO 9836:1997</w:t>
            </w:r>
          </w:p>
        </w:tc>
      </w:tr>
      <w:tr>
        <w:trPr>
          <w:cantSplit w:val="0"/>
          <w:tblHeader w:val="0"/>
        </w:trPr>
        <w:tc>
          <w:tcPr>
            <w:vMerge w:val="restart"/>
            <w:shd w:fill="f3f3f3" w:val="clear"/>
          </w:tcPr>
          <w:p w:rsidR="00000000" w:rsidDel="00000000" w:rsidP="00000000" w:rsidRDefault="00000000" w:rsidRPr="00000000" w14:paraId="0000016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Zamierzony sposób i procentowy udział źródeł finansowania przedsięwzięcia deweloperskiego lub zadania inwestycyjnego</w:t>
            </w:r>
          </w:p>
          <w:p w:rsidR="00000000" w:rsidDel="00000000" w:rsidP="00000000" w:rsidRDefault="00000000" w:rsidRPr="00000000" w14:paraId="00000166">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Rodzaj posiadanych środków finansowych – kredyt, środki własne, inne</w:t>
            </w:r>
          </w:p>
        </w:tc>
        <w:tc>
          <w:tcPr/>
          <w:p w:rsidR="00000000" w:rsidDel="00000000" w:rsidP="00000000" w:rsidRDefault="00000000" w:rsidRPr="00000000" w14:paraId="0000016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Środki własne 50%, wpłaty nabywców</w:t>
            </w:r>
            <w:r w:rsidDel="00000000" w:rsidR="00000000" w:rsidRPr="00000000">
              <w:rPr>
                <w:rFonts w:ascii="Times New Roman" w:cs="Times New Roman" w:eastAsia="Times New Roman" w:hAnsi="Times New Roman"/>
                <w:sz w:val="20"/>
                <w:szCs w:val="20"/>
                <w:rtl w:val="0"/>
              </w:rPr>
              <w:t xml:space="preserve"> 50%</w:t>
            </w:r>
          </w:p>
        </w:tc>
      </w:tr>
      <w:tr>
        <w:trPr>
          <w:cantSplit w:val="0"/>
          <w:tblHeader w:val="0"/>
        </w:trPr>
        <w:tc>
          <w:tcPr>
            <w:vMerge w:val="continue"/>
            <w:shd w:fill="f3f3f3"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następujących instytucjach finansowych (wypełnia się w przypadku kredytu)</w:t>
            </w:r>
          </w:p>
        </w:tc>
        <w:tc>
          <w:tcPr/>
          <w:p w:rsidR="00000000" w:rsidDel="00000000" w:rsidP="00000000" w:rsidRDefault="00000000" w:rsidRPr="00000000" w14:paraId="0000016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481" w:hRule="atLeast"/>
          <w:tblHeader w:val="0"/>
        </w:trPr>
        <w:tc>
          <w:tcPr>
            <w:vMerge w:val="restart"/>
            <w:shd w:fill="f3f3f3" w:val="clear"/>
          </w:tcPr>
          <w:p w:rsidR="00000000" w:rsidDel="00000000" w:rsidP="00000000" w:rsidRDefault="00000000" w:rsidRPr="00000000" w14:paraId="0000016C">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Środki ochrony nabywców</w:t>
            </w:r>
          </w:p>
        </w:tc>
        <w:tc>
          <w:tcPr/>
          <w:p w:rsidR="00000000" w:rsidDel="00000000" w:rsidP="00000000" w:rsidRDefault="00000000" w:rsidRPr="00000000" w14:paraId="0000016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Otwarty mieszkaniowy rachunek powierniczy*</w:t>
            </w:r>
          </w:p>
        </w:tc>
        <w:tc>
          <w:tcPr/>
          <w:p w:rsidR="00000000" w:rsidDel="00000000" w:rsidP="00000000" w:rsidRDefault="00000000" w:rsidRPr="00000000" w14:paraId="0000016E">
            <w:pPr>
              <w:spacing w:after="144" w:before="144" w:line="240" w:lineRule="auto"/>
              <w:jc w:val="both"/>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Zamknięty mieszkaniowy rachunek powierniczy*</w:t>
            </w:r>
          </w:p>
        </w:tc>
      </w:tr>
      <w:tr>
        <w:trPr>
          <w:cantSplit w:val="0"/>
          <w:tblHeader w:val="0"/>
        </w:trPr>
        <w:tc>
          <w:tcPr>
            <w:vMerge w:val="continue"/>
            <w:shd w:fill="f3f3f3" w:val="cle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trike w:val="1"/>
                <w:sz w:val="20"/>
                <w:szCs w:val="2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7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Wysokość stawki procentowej, według której jest obliczana kwota składki na Deweloperski Fundusz Gwarancyjny</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Fonts w:ascii="Times New Roman" w:cs="Times New Roman" w:eastAsia="Times New Roman" w:hAnsi="Times New Roman"/>
                <w:sz w:val="20"/>
                <w:szCs w:val="20"/>
                <w:vertAlign w:val="superscript"/>
                <w:rtl w:val="0"/>
              </w:rPr>
              <w:t xml:space="preserve">6)</w:t>
            </w: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8" w:val="single"/>
            </w:tcBorders>
          </w:tcPr>
          <w:p w:rsidR="00000000" w:rsidDel="00000000" w:rsidP="00000000" w:rsidRDefault="00000000" w:rsidRPr="00000000" w14:paraId="0000017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0,45%</w:t>
            </w:r>
          </w:p>
        </w:tc>
      </w:tr>
      <w:tr>
        <w:trPr>
          <w:cantSplit w:val="0"/>
          <w:trHeight w:val="200" w:hRule="atLeast"/>
          <w:tblHeader w:val="0"/>
        </w:trPr>
        <w:tc>
          <w:tcPr>
            <w:tcBorders>
              <w:right w:color="000000" w:space="0" w:sz="8" w:val="single"/>
            </w:tcBorders>
            <w:shd w:fill="f3f3f3" w:val="clear"/>
          </w:tcPr>
          <w:p w:rsidR="00000000" w:rsidDel="00000000" w:rsidP="00000000" w:rsidRDefault="00000000" w:rsidRPr="00000000" w14:paraId="00000172">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Główne zasady funkcjonowania wybranego rodzaju zabezpieczenia środków nabywcy</w:t>
            </w:r>
          </w:p>
        </w:tc>
        <w:tc>
          <w:tcPr>
            <w:gridSpan w:val="2"/>
            <w:tcBorders>
              <w:top w:color="000000" w:space="0" w:sz="8" w:val="single"/>
              <w:left w:color="000000" w:space="0" w:sz="8" w:val="single"/>
              <w:bottom w:color="000000" w:space="0" w:sz="8" w:val="single"/>
              <w:right w:color="000000" w:space="0" w:sz="0" w:val="nil"/>
            </w:tcBorders>
            <w:tcMar>
              <w:top w:w="0.0" w:type="dxa"/>
              <w:left w:w="80.0" w:type="dxa"/>
              <w:bottom w:w="0.0" w:type="dxa"/>
              <w:right w:w="80.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Otwarty mieszkaniowy rachunek powierniczy - służy do gromadzenia środków pieniężnych wpłacanych przez nabywcę, na cele określone w umowie deweloperskiej, z którego wypłata zdeponowanych środków następuje zgodnie z harmonogramem przedsięwzięcia deweloperskiego określonego w tej umowie; </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Bank dokonuje kontroli zakończenia każdego z etapów przedsięwzięcia deweloperskiego określonego w harmonogramie przedsięwzięcia deweloperskiego, przed dokonaniem wypłaty z otwartego mieszkaniowego rachunku powierniczego na rzecz dewelopera, na podstawie wpisu kierownika budowy w dzienniku budowy, potwierdzonego przez wyznaczoną przez bank osobę posiadającą odpowiednie uprawnienia budowlane; </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Bank wypłaca deweloperowi środki zgromadzone na otwartym mieszkaniowym rachunku powierniczym po stwierdzeniu zakończenia danego etapu realizacji przedsięwzięcia deweloperskiego;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Deweloper ma prawo dysponować środkami wypłacanymi z otwartego mieszkaniowego rachunku powierniczego, wyłącznie w celu realizacji przedsięwzięcia deweloperskiego, dla którego prowadzony jest ten rachunek; </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Koszty, opłaty i prowizje za prowadzenie otwartego rachunku powierniczego obciążają dewelopera.</w:t>
            </w:r>
          </w:p>
          <w:p w:rsidR="00000000" w:rsidDel="00000000" w:rsidP="00000000" w:rsidRDefault="00000000" w:rsidRPr="00000000" w14:paraId="0000017C">
            <w:pPr>
              <w:spacing w:after="0" w:line="240" w:lineRule="auto"/>
              <w:rPr/>
            </w:pPr>
            <w:r w:rsidDel="00000000" w:rsidR="00000000" w:rsidRPr="00000000">
              <w:rPr>
                <w:rtl w:val="0"/>
              </w:rPr>
            </w:r>
          </w:p>
        </w:tc>
      </w:tr>
      <w:tr>
        <w:trPr>
          <w:cantSplit w:val="0"/>
          <w:trHeight w:val="293" w:hRule="atLeast"/>
          <w:tblHeader w:val="0"/>
        </w:trPr>
        <w:tc>
          <w:tcPr>
            <w:shd w:fill="f3f3f3" w:val="clear"/>
          </w:tcPr>
          <w:p w:rsidR="00000000" w:rsidDel="00000000" w:rsidP="00000000" w:rsidRDefault="00000000" w:rsidRPr="00000000" w14:paraId="0000017E">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Nazwa instytucji zapewniającej bezpieczeństwo środków nabywcy</w:t>
            </w:r>
          </w:p>
        </w:tc>
        <w:tc>
          <w:tcPr>
            <w:gridSpan w:val="2"/>
            <w:tcBorders>
              <w:top w:color="000000" w:space="0" w:sz="8" w:val="single"/>
            </w:tcBorders>
            <w:shd w:fill="auto" w:val="clear"/>
          </w:tcPr>
          <w:p w:rsidR="00000000" w:rsidDel="00000000" w:rsidP="00000000" w:rsidRDefault="00000000" w:rsidRPr="00000000" w14:paraId="0000017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Nadsański Bank Spółdzielczy</w:t>
            </w:r>
          </w:p>
        </w:tc>
      </w:tr>
      <w:tr>
        <w:trPr>
          <w:cantSplit w:val="0"/>
          <w:trHeight w:val="1007" w:hRule="atLeast"/>
          <w:tblHeader w:val="0"/>
        </w:trPr>
        <w:tc>
          <w:tcPr>
            <w:shd w:fill="f3f3f3" w:val="clear"/>
          </w:tcPr>
          <w:p w:rsidR="00000000" w:rsidDel="00000000" w:rsidP="00000000" w:rsidRDefault="00000000" w:rsidRPr="00000000" w14:paraId="0000018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Harmonogram przedsięwzięcia deweloperskiego lub zadania inwestycyjnego</w:t>
            </w:r>
          </w:p>
        </w:tc>
        <w:tc>
          <w:tcPr>
            <w:gridSpan w:val="2"/>
            <w:shd w:fill="auto" w:val="clear"/>
          </w:tcPr>
          <w:p w:rsidR="00000000" w:rsidDel="00000000" w:rsidP="00000000" w:rsidRDefault="00000000" w:rsidRPr="00000000" w14:paraId="00000182">
            <w:pPr>
              <w:pStyle w:val="Heading3"/>
              <w:spacing w:before="320" w:line="276" w:lineRule="auto"/>
              <w:rPr>
                <w:rFonts w:ascii="Times New Roman" w:cs="Times New Roman" w:eastAsia="Times New Roman" w:hAnsi="Times New Roman"/>
                <w:b w:val="0"/>
                <w:color w:val="434343"/>
                <w:sz w:val="24"/>
                <w:szCs w:val="24"/>
              </w:rPr>
            </w:pPr>
            <w:bookmarkStart w:colFirst="0" w:colLast="0" w:name="_heading=h.9r628k3611q3" w:id="0"/>
            <w:bookmarkEnd w:id="0"/>
            <w:r w:rsidDel="00000000" w:rsidR="00000000" w:rsidRPr="00000000">
              <w:rPr>
                <w:rFonts w:ascii="Times New Roman" w:cs="Times New Roman" w:eastAsia="Times New Roman" w:hAnsi="Times New Roman"/>
                <w:b w:val="0"/>
                <w:color w:val="434343"/>
                <w:sz w:val="24"/>
                <w:szCs w:val="24"/>
                <w:rtl w:val="0"/>
              </w:rPr>
              <w:t xml:space="preserve">ETAP 1. STAN ZEROWY – 25%</w:t>
            </w:r>
          </w:p>
          <w:p w:rsidR="00000000" w:rsidDel="00000000" w:rsidP="00000000" w:rsidRDefault="00000000" w:rsidRPr="00000000" w14:paraId="00000183">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Termin: 31 marzec 2025</w:t>
            </w:r>
          </w:p>
          <w:p w:rsidR="00000000" w:rsidDel="00000000" w:rsidP="00000000" w:rsidRDefault="00000000" w:rsidRPr="00000000" w14:paraId="00000184">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5">
            <w:pPr>
              <w:numPr>
                <w:ilvl w:val="0"/>
                <w:numId w:val="1"/>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Zakup gruntu, prace projektowe</w:t>
            </w:r>
          </w:p>
          <w:p w:rsidR="00000000" w:rsidDel="00000000" w:rsidP="00000000" w:rsidRDefault="00000000" w:rsidRPr="00000000" w14:paraId="00000186">
            <w:pPr>
              <w:numPr>
                <w:ilvl w:val="0"/>
                <w:numId w:val="1"/>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uzyskanie pozwolenia na budowę </w:t>
            </w:r>
          </w:p>
          <w:p w:rsidR="00000000" w:rsidDel="00000000" w:rsidP="00000000" w:rsidRDefault="00000000" w:rsidRPr="00000000" w14:paraId="00000187">
            <w:pPr>
              <w:numPr>
                <w:ilvl w:val="0"/>
                <w:numId w:val="1"/>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organizacja placu budowy </w:t>
            </w:r>
          </w:p>
          <w:p w:rsidR="00000000" w:rsidDel="00000000" w:rsidP="00000000" w:rsidRDefault="00000000" w:rsidRPr="00000000" w14:paraId="00000188">
            <w:pPr>
              <w:numPr>
                <w:ilvl w:val="0"/>
                <w:numId w:val="1"/>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roboty ziemne </w:t>
            </w:r>
          </w:p>
          <w:p w:rsidR="00000000" w:rsidDel="00000000" w:rsidP="00000000" w:rsidRDefault="00000000" w:rsidRPr="00000000" w14:paraId="00000189">
            <w:pPr>
              <w:numPr>
                <w:ilvl w:val="0"/>
                <w:numId w:val="1"/>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fundamenty </w:t>
            </w:r>
          </w:p>
          <w:p w:rsidR="00000000" w:rsidDel="00000000" w:rsidP="00000000" w:rsidRDefault="00000000" w:rsidRPr="00000000" w14:paraId="0000018A">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B">
            <w:pPr>
              <w:pStyle w:val="Heading3"/>
              <w:spacing w:before="320" w:line="276" w:lineRule="auto"/>
              <w:rPr>
                <w:rFonts w:ascii="Times New Roman" w:cs="Times New Roman" w:eastAsia="Times New Roman" w:hAnsi="Times New Roman"/>
                <w:b w:val="0"/>
                <w:color w:val="434343"/>
                <w:sz w:val="24"/>
                <w:szCs w:val="24"/>
              </w:rPr>
            </w:pPr>
            <w:bookmarkStart w:colFirst="0" w:colLast="0" w:name="_heading=h.g40w1zdyoxxc" w:id="1"/>
            <w:bookmarkEnd w:id="1"/>
            <w:r w:rsidDel="00000000" w:rsidR="00000000" w:rsidRPr="00000000">
              <w:rPr>
                <w:rFonts w:ascii="Times New Roman" w:cs="Times New Roman" w:eastAsia="Times New Roman" w:hAnsi="Times New Roman"/>
                <w:b w:val="0"/>
                <w:color w:val="434343"/>
                <w:sz w:val="24"/>
                <w:szCs w:val="24"/>
                <w:rtl w:val="0"/>
              </w:rPr>
              <w:t xml:space="preserve">ETAP 2. STAN SUROWY - 25%</w:t>
            </w:r>
          </w:p>
          <w:p w:rsidR="00000000" w:rsidDel="00000000" w:rsidP="00000000" w:rsidRDefault="00000000" w:rsidRPr="00000000" w14:paraId="0000018C">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Termin 31 lipiec 2025</w:t>
            </w:r>
          </w:p>
          <w:p w:rsidR="00000000" w:rsidDel="00000000" w:rsidP="00000000" w:rsidRDefault="00000000" w:rsidRPr="00000000" w14:paraId="0000018D">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E">
            <w:pPr>
              <w:numPr>
                <w:ilvl w:val="0"/>
                <w:numId w:val="4"/>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ściany konstrukcyjne</w:t>
            </w:r>
          </w:p>
          <w:p w:rsidR="00000000" w:rsidDel="00000000" w:rsidP="00000000" w:rsidRDefault="00000000" w:rsidRPr="00000000" w14:paraId="0000018F">
            <w:pPr>
              <w:numPr>
                <w:ilvl w:val="0"/>
                <w:numId w:val="4"/>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schody</w:t>
            </w:r>
          </w:p>
          <w:p w:rsidR="00000000" w:rsidDel="00000000" w:rsidP="00000000" w:rsidRDefault="00000000" w:rsidRPr="00000000" w14:paraId="00000190">
            <w:pPr>
              <w:numPr>
                <w:ilvl w:val="0"/>
                <w:numId w:val="4"/>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stropy</w:t>
            </w:r>
          </w:p>
          <w:p w:rsidR="00000000" w:rsidDel="00000000" w:rsidP="00000000" w:rsidRDefault="00000000" w:rsidRPr="00000000" w14:paraId="00000191">
            <w:pPr>
              <w:numPr>
                <w:ilvl w:val="0"/>
                <w:numId w:val="4"/>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dach konstrukcja i pokrycie </w:t>
            </w:r>
          </w:p>
          <w:p w:rsidR="00000000" w:rsidDel="00000000" w:rsidP="00000000" w:rsidRDefault="00000000" w:rsidRPr="00000000" w14:paraId="00000192">
            <w:pPr>
              <w:numPr>
                <w:ilvl w:val="0"/>
                <w:numId w:val="4"/>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kanalizacja deszczowa - zbiorniki na deszczówkę</w:t>
            </w:r>
          </w:p>
          <w:p w:rsidR="00000000" w:rsidDel="00000000" w:rsidP="00000000" w:rsidRDefault="00000000" w:rsidRPr="00000000" w14:paraId="00000193">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4">
            <w:pPr>
              <w:pStyle w:val="Heading3"/>
              <w:spacing w:before="320" w:line="276" w:lineRule="auto"/>
              <w:rPr>
                <w:rFonts w:ascii="Times New Roman" w:cs="Times New Roman" w:eastAsia="Times New Roman" w:hAnsi="Times New Roman"/>
                <w:b w:val="0"/>
                <w:color w:val="434343"/>
                <w:sz w:val="24"/>
                <w:szCs w:val="24"/>
              </w:rPr>
            </w:pPr>
            <w:bookmarkStart w:colFirst="0" w:colLast="0" w:name="_heading=h.ns2442rbncgp" w:id="2"/>
            <w:bookmarkEnd w:id="2"/>
            <w:r w:rsidDel="00000000" w:rsidR="00000000" w:rsidRPr="00000000">
              <w:rPr>
                <w:rFonts w:ascii="Times New Roman" w:cs="Times New Roman" w:eastAsia="Times New Roman" w:hAnsi="Times New Roman"/>
                <w:b w:val="0"/>
                <w:color w:val="434343"/>
                <w:sz w:val="24"/>
                <w:szCs w:val="24"/>
                <w:rtl w:val="0"/>
              </w:rPr>
              <w:t xml:space="preserve">ETAP 3. STAN SUROWY ZAMKNIĘTY I INSTALACJE – 19%</w:t>
            </w:r>
          </w:p>
          <w:p w:rsidR="00000000" w:rsidDel="00000000" w:rsidP="00000000" w:rsidRDefault="00000000" w:rsidRPr="00000000" w14:paraId="0000019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Termin: 31 października 2025</w:t>
            </w:r>
          </w:p>
          <w:p w:rsidR="00000000" w:rsidDel="00000000" w:rsidP="00000000" w:rsidRDefault="00000000" w:rsidRPr="00000000" w14:paraId="00000196">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7">
            <w:pPr>
              <w:numPr>
                <w:ilvl w:val="0"/>
                <w:numId w:val="5"/>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ściany działowe</w:t>
            </w:r>
          </w:p>
          <w:p w:rsidR="00000000" w:rsidDel="00000000" w:rsidP="00000000" w:rsidRDefault="00000000" w:rsidRPr="00000000" w14:paraId="00000198">
            <w:pPr>
              <w:numPr>
                <w:ilvl w:val="0"/>
                <w:numId w:val="5"/>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stolarka zewnętrzna (okna)</w:t>
            </w:r>
          </w:p>
          <w:p w:rsidR="00000000" w:rsidDel="00000000" w:rsidP="00000000" w:rsidRDefault="00000000" w:rsidRPr="00000000" w14:paraId="00000199">
            <w:pPr>
              <w:numPr>
                <w:ilvl w:val="0"/>
                <w:numId w:val="5"/>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wodociągowa (orurowanie)</w:t>
            </w:r>
          </w:p>
          <w:p w:rsidR="00000000" w:rsidDel="00000000" w:rsidP="00000000" w:rsidRDefault="00000000" w:rsidRPr="00000000" w14:paraId="0000019A">
            <w:pPr>
              <w:numPr>
                <w:ilvl w:val="0"/>
                <w:numId w:val="5"/>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kanalizacyjna (orurowanie)</w:t>
            </w:r>
          </w:p>
          <w:p w:rsidR="00000000" w:rsidDel="00000000" w:rsidP="00000000" w:rsidRDefault="00000000" w:rsidRPr="00000000" w14:paraId="0000019B">
            <w:pPr>
              <w:numPr>
                <w:ilvl w:val="0"/>
                <w:numId w:val="5"/>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elektr. (okablowanie)</w:t>
            </w:r>
          </w:p>
          <w:p w:rsidR="00000000" w:rsidDel="00000000" w:rsidP="00000000" w:rsidRDefault="00000000" w:rsidRPr="00000000" w14:paraId="0000019C">
            <w:pPr>
              <w:numPr>
                <w:ilvl w:val="0"/>
                <w:numId w:val="5"/>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tynki wewn.</w:t>
            </w:r>
          </w:p>
          <w:p w:rsidR="00000000" w:rsidDel="00000000" w:rsidP="00000000" w:rsidRDefault="00000000" w:rsidRPr="00000000" w14:paraId="0000019D">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E">
            <w:pPr>
              <w:pStyle w:val="Heading3"/>
              <w:spacing w:before="320" w:line="276" w:lineRule="auto"/>
              <w:rPr>
                <w:rFonts w:ascii="Times New Roman" w:cs="Times New Roman" w:eastAsia="Times New Roman" w:hAnsi="Times New Roman"/>
                <w:b w:val="0"/>
                <w:color w:val="434343"/>
                <w:sz w:val="24"/>
                <w:szCs w:val="24"/>
              </w:rPr>
            </w:pPr>
            <w:bookmarkStart w:colFirst="0" w:colLast="0" w:name="_heading=h.2tpj9gs8qbxs" w:id="3"/>
            <w:bookmarkEnd w:id="3"/>
            <w:r w:rsidDel="00000000" w:rsidR="00000000" w:rsidRPr="00000000">
              <w:rPr>
                <w:rFonts w:ascii="Times New Roman" w:cs="Times New Roman" w:eastAsia="Times New Roman" w:hAnsi="Times New Roman"/>
                <w:b w:val="0"/>
                <w:color w:val="434343"/>
                <w:sz w:val="24"/>
                <w:szCs w:val="24"/>
                <w:rtl w:val="0"/>
              </w:rPr>
              <w:t xml:space="preserve">ETAP 4. STAN WYKOŃCZENIOWY BEZ GK – 16%</w:t>
            </w:r>
          </w:p>
          <w:p w:rsidR="00000000" w:rsidDel="00000000" w:rsidP="00000000" w:rsidRDefault="00000000" w:rsidRPr="00000000" w14:paraId="0000019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Termin: 31 stycznia 2026</w:t>
            </w:r>
          </w:p>
          <w:p w:rsidR="00000000" w:rsidDel="00000000" w:rsidP="00000000" w:rsidRDefault="00000000" w:rsidRPr="00000000" w14:paraId="000001A0">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1">
            <w:pPr>
              <w:numPr>
                <w:ilvl w:val="0"/>
                <w:numId w:val="12"/>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wentylacja mechaniczna (orurowanie)</w:t>
            </w:r>
          </w:p>
          <w:p w:rsidR="00000000" w:rsidDel="00000000" w:rsidP="00000000" w:rsidRDefault="00000000" w:rsidRPr="00000000" w14:paraId="000001A2">
            <w:pPr>
              <w:numPr>
                <w:ilvl w:val="0"/>
                <w:numId w:val="12"/>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 (orurowanie)</w:t>
            </w:r>
          </w:p>
          <w:p w:rsidR="00000000" w:rsidDel="00000000" w:rsidP="00000000" w:rsidRDefault="00000000" w:rsidRPr="00000000" w14:paraId="000001A3">
            <w:pPr>
              <w:numPr>
                <w:ilvl w:val="0"/>
                <w:numId w:val="12"/>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wylewki</w:t>
            </w:r>
          </w:p>
          <w:p w:rsidR="00000000" w:rsidDel="00000000" w:rsidP="00000000" w:rsidRDefault="00000000" w:rsidRPr="00000000" w14:paraId="000001A4">
            <w:pPr>
              <w:numPr>
                <w:ilvl w:val="0"/>
                <w:numId w:val="12"/>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stolarka zewnętrzna (drzwi)</w:t>
            </w:r>
          </w:p>
          <w:p w:rsidR="00000000" w:rsidDel="00000000" w:rsidP="00000000" w:rsidRDefault="00000000" w:rsidRPr="00000000" w14:paraId="000001A5">
            <w:pPr>
              <w:numPr>
                <w:ilvl w:val="0"/>
                <w:numId w:val="12"/>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elewacja (siatka + klej, bez pucu)</w:t>
            </w:r>
          </w:p>
          <w:p w:rsidR="00000000" w:rsidDel="00000000" w:rsidP="00000000" w:rsidRDefault="00000000" w:rsidRPr="00000000" w14:paraId="000001A6">
            <w:pPr>
              <w:numPr>
                <w:ilvl w:val="0"/>
                <w:numId w:val="12"/>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izolacja termiczna poddaszy</w:t>
            </w:r>
          </w:p>
          <w:p w:rsidR="00000000" w:rsidDel="00000000" w:rsidP="00000000" w:rsidRDefault="00000000" w:rsidRPr="00000000" w14:paraId="000001A7">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8">
            <w:pPr>
              <w:pStyle w:val="Heading3"/>
              <w:spacing w:before="320" w:line="276" w:lineRule="auto"/>
              <w:rPr>
                <w:rFonts w:ascii="Times New Roman" w:cs="Times New Roman" w:eastAsia="Times New Roman" w:hAnsi="Times New Roman"/>
                <w:b w:val="0"/>
                <w:color w:val="434343"/>
                <w:sz w:val="24"/>
                <w:szCs w:val="24"/>
              </w:rPr>
            </w:pPr>
            <w:bookmarkStart w:colFirst="0" w:colLast="0" w:name="_heading=h.4ohkjaajfnfg" w:id="4"/>
            <w:bookmarkEnd w:id="4"/>
            <w:r w:rsidDel="00000000" w:rsidR="00000000" w:rsidRPr="00000000">
              <w:rPr>
                <w:rFonts w:ascii="Times New Roman" w:cs="Times New Roman" w:eastAsia="Times New Roman" w:hAnsi="Times New Roman"/>
                <w:b w:val="0"/>
                <w:color w:val="434343"/>
                <w:sz w:val="24"/>
                <w:szCs w:val="24"/>
                <w:rtl w:val="0"/>
              </w:rPr>
              <w:t xml:space="preserve">ETAP 5. GK oraz ELEWACJA I ROBOTY ZEWNĘTRZNE – 15%</w:t>
            </w:r>
          </w:p>
          <w:p w:rsidR="00000000" w:rsidDel="00000000" w:rsidP="00000000" w:rsidRDefault="00000000" w:rsidRPr="00000000" w14:paraId="000001A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Termin 31 marca 2026</w:t>
            </w:r>
          </w:p>
          <w:p w:rsidR="00000000" w:rsidDel="00000000" w:rsidP="00000000" w:rsidRDefault="00000000" w:rsidRPr="00000000" w14:paraId="000001AA">
            <w:pPr>
              <w:spacing w:after="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B">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wykończenie płytami poddasza płytami GK</w:t>
            </w:r>
          </w:p>
          <w:p w:rsidR="00000000" w:rsidDel="00000000" w:rsidP="00000000" w:rsidRDefault="00000000" w:rsidRPr="00000000" w14:paraId="000001AC">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przyłącza zewnętrzne</w:t>
            </w:r>
          </w:p>
          <w:p w:rsidR="00000000" w:rsidDel="00000000" w:rsidP="00000000" w:rsidRDefault="00000000" w:rsidRPr="00000000" w14:paraId="000001AD">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osprzęt instalacyjny (rekuperatory, piece c.o., uzbrojenie tablicy elektrycznej, gniazdka, włączniki)</w:t>
            </w:r>
          </w:p>
          <w:p w:rsidR="00000000" w:rsidDel="00000000" w:rsidP="00000000" w:rsidRDefault="00000000" w:rsidRPr="00000000" w14:paraId="000001AE">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instalacja gazowa</w:t>
            </w:r>
          </w:p>
          <w:p w:rsidR="00000000" w:rsidDel="00000000" w:rsidP="00000000" w:rsidRDefault="00000000" w:rsidRPr="00000000" w14:paraId="000001AF">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miejsca parkingowe, droga, dojścia</w:t>
            </w:r>
          </w:p>
          <w:p w:rsidR="00000000" w:rsidDel="00000000" w:rsidP="00000000" w:rsidRDefault="00000000" w:rsidRPr="00000000" w14:paraId="000001B0">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wykończenie elewacji (puc)</w:t>
            </w:r>
          </w:p>
          <w:p w:rsidR="00000000" w:rsidDel="00000000" w:rsidP="00000000" w:rsidRDefault="00000000" w:rsidRPr="00000000" w14:paraId="000001B1">
            <w:pPr>
              <w:numPr>
                <w:ilvl w:val="0"/>
                <w:numId w:val="3"/>
              </w:numPr>
              <w:spacing w:after="0" w:line="276"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teren wstępnie wyrównany po pracach ziemnych, bez humusowania i nasadzeń.</w:t>
            </w:r>
            <w:r w:rsidDel="00000000" w:rsidR="00000000" w:rsidRPr="00000000">
              <w:rPr>
                <w:rtl w:val="0"/>
              </w:rPr>
            </w:r>
          </w:p>
        </w:tc>
      </w:tr>
      <w:tr>
        <w:trPr>
          <w:cantSplit w:val="0"/>
          <w:trHeight w:val="292" w:hRule="atLeast"/>
          <w:tblHeader w:val="0"/>
        </w:trPr>
        <w:tc>
          <w:tcPr>
            <w:shd w:fill="f3f3f3" w:val="clear"/>
          </w:tcPr>
          <w:p w:rsidR="00000000" w:rsidDel="00000000" w:rsidP="00000000" w:rsidRDefault="00000000" w:rsidRPr="00000000" w14:paraId="000001B3">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Dopuszczenie waloryzacji ceny oraz określenie zasad waloryzacji</w:t>
            </w:r>
          </w:p>
        </w:tc>
        <w:tc>
          <w:tcPr>
            <w:gridSpan w:val="2"/>
            <w:shd w:fill="auto" w:val="clear"/>
          </w:tcPr>
          <w:p w:rsidR="00000000" w:rsidDel="00000000" w:rsidP="00000000" w:rsidRDefault="00000000" w:rsidRPr="00000000" w14:paraId="000001B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 przypadku, gdy ze względu na przebieg procesu budowlanego powierzchnia lokalu mieszkalnego ulegnie zmianie - cena lokalu mieszkalnego ulegnie odpowiedniemu stosunkowemu zmniejszeniu lub zwiększeniu o różnicę pomiędzy ceną lokalu wynikającą z rzeczywistej powierzchni lokalu a ceną lokalu określoną w zawartej umowie deweloperskiej, wyliczoną wg ceny 1m2 powierzchni lokalu.</w:t>
            </w:r>
          </w:p>
          <w:p w:rsidR="00000000" w:rsidDel="00000000" w:rsidP="00000000" w:rsidRDefault="00000000" w:rsidRPr="00000000" w14:paraId="000001B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stawający postanawiają, że w przypadku zmiany wysokości stawek podatku VAT, podana cena za lokal może ulec zmianie, a strony zobowiązane będą odpowiednio do uiszczenia lub zwrotu ewentualnej różnicy wynikającej z tej zmiany, przy czym o nowych wysokościach rat Nabywca zostanie poinformowany przez Dewelopera pismem wraz z załączonym nowym harmonogramem.</w:t>
            </w:r>
          </w:p>
        </w:tc>
      </w:tr>
      <w:tr>
        <w:trPr>
          <w:cantSplit w:val="0"/>
          <w:tblHeader w:val="0"/>
        </w:trPr>
        <w:tc>
          <w:tcPr>
            <w:gridSpan w:val="3"/>
            <w:tcBorders>
              <w:bottom w:color="000000" w:space="0" w:sz="4" w:val="single"/>
            </w:tcBorders>
            <w:shd w:fill="e0e0e0" w:val="clear"/>
          </w:tcPr>
          <w:p w:rsidR="00000000" w:rsidDel="00000000" w:rsidP="00000000" w:rsidRDefault="00000000" w:rsidRPr="00000000" w14:paraId="000001B7">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WARUNKI ODSTĄPIENIA OD UMOWY DEWELOPERSKIEJ LUB UMOWY, O KTÓREJ MOWA W ART. 2 UST. 1 PKT 2, 3 LUB 5 USTAWY Z DNIA 20 MAJA 2021R O OCHRONIE PRAW NABYWCY LOKALU MIESZKALNEGO LUB DOMU JEDNORODZINNEGO ORAZ O DEWELOPERSKIM FUNDUSZU GWARANCYJNYM</w:t>
            </w:r>
          </w:p>
          <w:p w:rsidR="00000000" w:rsidDel="00000000" w:rsidP="00000000" w:rsidRDefault="00000000" w:rsidRPr="00000000" w14:paraId="000001B8">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1512" w:hRule="atLeast"/>
          <w:tblHeader w:val="0"/>
        </w:trPr>
        <w:tc>
          <w:tcPr>
            <w:tcBorders>
              <w:bottom w:color="000000" w:space="0" w:sz="4" w:val="single"/>
            </w:tcBorders>
            <w:shd w:fill="f3f3f3" w:val="clear"/>
          </w:tcPr>
          <w:p w:rsidR="00000000" w:rsidDel="00000000" w:rsidP="00000000" w:rsidRDefault="00000000" w:rsidRPr="00000000" w14:paraId="000001B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Należy opisać, na jakich warunkach można odstąpić od umowy deweloperskiej lub jednej z umów, o których mowa w art. 2 ust. 1 pkt 2, 3 lub 5 ustawy z dnia … o ochronie praw nabywcy lokalu mieszkalnego lub domu jednorodzinnego oraz o Deweloperskim Funduszu Gwarancyjnym</w:t>
            </w:r>
          </w:p>
        </w:tc>
        <w:tc>
          <w:tcPr>
            <w:gridSpan w:val="2"/>
          </w:tcPr>
          <w:p w:rsidR="00000000" w:rsidDel="00000000" w:rsidP="00000000" w:rsidRDefault="00000000" w:rsidRPr="00000000" w14:paraId="000001BC">
            <w:pPr>
              <w:numPr>
                <w:ilvl w:val="0"/>
                <w:numId w:val="14"/>
              </w:numPr>
              <w:tabs>
                <w:tab w:val="right" w:leader="none" w:pos="360"/>
                <w:tab w:val="right" w:leader="none" w:pos="9120"/>
              </w:tabs>
              <w:spacing w:after="0" w:line="288" w:lineRule="auto"/>
              <w:ind w:left="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Nabywca ma prawo odstąpić od niniejszej Umowy:</w:t>
              <w:tab/>
            </w:r>
          </w:p>
          <w:p w:rsidR="00000000" w:rsidDel="00000000" w:rsidP="00000000" w:rsidRDefault="00000000" w:rsidRPr="00000000" w14:paraId="000001BD">
            <w:pPr>
              <w:numPr>
                <w:ilvl w:val="1"/>
                <w:numId w:val="14"/>
              </w:numP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jeżeli niniejsza umowa nie zawiera elementów, o których mowa w art. 35 ustawy z dnia 20 maja 2021 roku o ochronie praw nabywcy lokalu mieszkalnego lub domu jednorodzinnego oraz Deweloperskim Funduszu Gwarancyjnym, dalej zwanej Ustawą,</w:t>
              <w:tab/>
            </w:r>
          </w:p>
          <w:p w:rsidR="00000000" w:rsidDel="00000000" w:rsidP="00000000" w:rsidRDefault="00000000" w:rsidRPr="00000000" w14:paraId="000001BE">
            <w:pPr>
              <w:numPr>
                <w:ilvl w:val="1"/>
                <w:numId w:val="14"/>
              </w:numP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jeżeli informacje zawarte w niniejszej umowie nie są zgodne z informacjami zawartymi w prospekcie informacyjnym lub jego załącznikach, z wyjątkiem zmian, o których mowa w art. 35 ust. 2 Ustawy,</w:t>
              <w:tab/>
            </w:r>
          </w:p>
          <w:p w:rsidR="00000000" w:rsidDel="00000000" w:rsidP="00000000" w:rsidRDefault="00000000" w:rsidRPr="00000000" w14:paraId="000001BF">
            <w:pPr>
              <w:numPr>
                <w:ilvl w:val="1"/>
                <w:numId w:val="14"/>
              </w:numP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jeżeli Deweloper nie doręczył Nabywcy zgodnie z art. 21 lub art. 22 Ustawy prospektu informacyjnego wraz załącznikami lub informacji o zmianie danych lub informacji zawartych w prospekcie informacyjnym lub jego załącznikach,</w:t>
              <w:tab/>
            </w:r>
          </w:p>
          <w:p w:rsidR="00000000" w:rsidDel="00000000" w:rsidP="00000000" w:rsidRDefault="00000000" w:rsidRPr="00000000" w14:paraId="000001C0">
            <w:pPr>
              <w:numPr>
                <w:ilvl w:val="1"/>
                <w:numId w:val="14"/>
              </w:numP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jeżeli dane lub informacje zawarte w prospekcie informacyjnym lub jego załącznikach, na podstawie których zawarto niniejszą umowę, są niezgodne ze stanem faktycznym lub prawnym w dniu zawarcia niniejszej umowy,</w:t>
              <w:tab/>
            </w:r>
          </w:p>
          <w:p w:rsidR="00000000" w:rsidDel="00000000" w:rsidP="00000000" w:rsidRDefault="00000000" w:rsidRPr="00000000" w14:paraId="000001C1">
            <w:pPr>
              <w:numPr>
                <w:ilvl w:val="1"/>
                <w:numId w:val="14"/>
              </w:numP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jeżeli prospekt informacyjny, na podstawie którego zawarto niniejszą umowę, nie zawiera danych lub informacji określonych we wzorze prospektu informacyjnego,</w:t>
              <w:tab/>
            </w:r>
          </w:p>
          <w:p w:rsidR="00000000" w:rsidDel="00000000" w:rsidP="00000000" w:rsidRDefault="00000000" w:rsidRPr="00000000" w14:paraId="000001C2">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nieprzeniesienia na Nabywcę prawa własności lokalu mieszkalnego w terminie, o którym mowa w §14 tego aktu notarialnego,</w:t>
              <w:tab/>
            </w:r>
          </w:p>
          <w:p w:rsidR="00000000" w:rsidDel="00000000" w:rsidP="00000000" w:rsidRDefault="00000000" w:rsidRPr="00000000" w14:paraId="000001C3">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gdy Deweloper nie zawrze umowy mieszkaniowego rachunku powierniczego z innym bankiem w trybie i terminie, o których mowa w art. 10 ust. 1 Ustawy,</w:t>
              <w:tab/>
            </w:r>
          </w:p>
          <w:p w:rsidR="00000000" w:rsidDel="00000000" w:rsidP="00000000" w:rsidRDefault="00000000" w:rsidRPr="00000000" w14:paraId="000001C4">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gdy Deweloper nie posiada zgody wierzyciela hipotecznego lub zobowiązania do jej udzielenia, o których mowa w art. 25 ust. 1 pkt 1 lub 2 Ustawy,</w:t>
              <w:tab/>
            </w:r>
          </w:p>
          <w:p w:rsidR="00000000" w:rsidDel="00000000" w:rsidP="00000000" w:rsidRDefault="00000000" w:rsidRPr="00000000" w14:paraId="000001C5">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niewykonania przez Dewelopera obowiązku, o którym mowa w art. 12 ust. 2 Ustawy, w terminie określonym w tym przepisie,</w:t>
              <w:tab/>
            </w:r>
          </w:p>
          <w:p w:rsidR="00000000" w:rsidDel="00000000" w:rsidP="00000000" w:rsidRDefault="00000000" w:rsidRPr="00000000" w14:paraId="000001C6">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nieusunięcia przez Dewelopera wady istotnej lokalu mieszkalnego albo domu jednorodzinnego na zasadach określonych w art. 41 ust. 11 Ustawy,</w:t>
              <w:tab/>
            </w:r>
          </w:p>
          <w:p w:rsidR="00000000" w:rsidDel="00000000" w:rsidP="00000000" w:rsidRDefault="00000000" w:rsidRPr="00000000" w14:paraId="000001C7">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stwierdzenia przez rzeczoznawcę istnienia wady istotnej, o którym mowa w art. 41 ust. 15 Ustawy,</w:t>
              <w:tab/>
            </w:r>
          </w:p>
          <w:p w:rsidR="00000000" w:rsidDel="00000000" w:rsidP="00000000" w:rsidRDefault="00000000" w:rsidRPr="00000000" w14:paraId="000001C8">
            <w:pPr>
              <w:numPr>
                <w:ilvl w:val="1"/>
                <w:numId w:val="14"/>
              </w:numPr>
              <w:shd w:fill="ffffff" w:val="clear"/>
              <w:tabs>
                <w:tab w:val="right" w:leader="none" w:pos="1080"/>
                <w:tab w:val="right" w:leader="none" w:pos="9120"/>
              </w:tabs>
              <w:spacing w:after="0" w:line="288" w:lineRule="auto"/>
              <w:ind w:left="108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jeżeli syndyk zażądał wykonania umowy na podstawie art. 98 ustawy z dnia 28 lutego 2003 roku - Prawo upadłościowe.</w:t>
              <w:tab/>
            </w:r>
          </w:p>
          <w:p w:rsidR="00000000" w:rsidDel="00000000" w:rsidP="00000000" w:rsidRDefault="00000000" w:rsidRPr="00000000" w14:paraId="000001C9">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przypadkach, o których mowa w ust. I pkt 1 ppkt 1 – 5 Nabywca ma prawo odstąpienia od niniejszej umowy w terminie 30 (trzydzieści) dni od dnia jej zawarcia.</w:t>
              <w:tab/>
            </w:r>
          </w:p>
          <w:p w:rsidR="00000000" w:rsidDel="00000000" w:rsidP="00000000" w:rsidRDefault="00000000" w:rsidRPr="00000000" w14:paraId="000001CA">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o którym mowa w ust. I pkt 1 ppkt 6, Nabywca przed skorzystaniem z prawa do odstąpienia od niniejszej umowy wyznacza Deweloperowi 120-dniowy termin na przeniesienie prawa własności lokalu mieszkalnego, który ulega zawieszeniu w przypadku o którym mowa w art. 41 ust. 14 w związku z ust. 13 Ustawy, a w razie bezskutecznego upływu wyznaczonego terminu jest uprawniony do odstąpienia od niniejszej umowy. Nabywca zachowuje roszczenie z tytułu kary umownej za okres opóźnienia.</w:t>
            </w:r>
          </w:p>
          <w:p w:rsidR="00000000" w:rsidDel="00000000" w:rsidP="00000000" w:rsidRDefault="00000000" w:rsidRPr="00000000" w14:paraId="000001CB">
            <w:pPr>
              <w:tabs>
                <w:tab w:val="right" w:leader="none" w:pos="360"/>
                <w:tab w:val="right" w:leader="none" w:pos="9120"/>
              </w:tabs>
              <w:spacing w:after="0" w:line="288"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 przypadku nieskorzystania przez Nabywcę z prawa odstąpienia od umowy, o którym mowa w niniejszym ustępie, Nabywcy przysługuje prawo do żądania od Dewelopera kary umownej za okres opóźnienia w wysokości stanowiącej równowartość odsetek umownych w wysokości 2% (dwa procent) w stosunku rocznym liczonych od sumy wpłat dokonanych przez Nabywcę,</w:t>
              <w:tab/>
            </w:r>
          </w:p>
          <w:p w:rsidR="00000000" w:rsidDel="00000000" w:rsidP="00000000" w:rsidRDefault="00000000" w:rsidRPr="00000000" w14:paraId="000001CC">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o którym mowa w ust. I pkt 1 ppkt 7, Nabywca ma prawo odstąpienia od niniejszej umowy po dokonaniu przez bank zwrotu środków zgodnie z art. 10 ust. 3 Ustawy,</w:t>
              <w:tab/>
            </w:r>
          </w:p>
          <w:p w:rsidR="00000000" w:rsidDel="00000000" w:rsidP="00000000" w:rsidRDefault="00000000" w:rsidRPr="00000000" w14:paraId="000001CD">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o którym mowa w ust. I pkt 1 ppkt 8, Nabywca ma prawo odstąpienia od niniejszej umowy w terminie 60 (sześćdziesiąt) dni od dnia jej zawarcia.</w:t>
              <w:tab/>
            </w:r>
          </w:p>
          <w:p w:rsidR="00000000" w:rsidDel="00000000" w:rsidP="00000000" w:rsidRDefault="00000000" w:rsidRPr="00000000" w14:paraId="000001CE">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o którym mowa w ust. I pkt 1 ppkt 9, Nabywca ma prawo odstąpienia od niniejszej umowy po upływie 60 (sześćdziesiąt) dni od dnia podania do publicznej wiadomości informacji, o których mowa w art. 12 ust. 1 Ustawy.</w:t>
              <w:tab/>
            </w:r>
          </w:p>
          <w:p w:rsidR="00000000" w:rsidDel="00000000" w:rsidP="00000000" w:rsidRDefault="00000000" w:rsidRPr="00000000" w14:paraId="000001CF">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right" w:leader="none" w:pos="360"/>
                <w:tab w:val="right" w:leader="none" w:pos="9120"/>
              </w:tabs>
              <w:spacing w:after="0" w:before="0" w:line="288" w:lineRule="auto"/>
              <w:ind w:left="36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Deweloper ma prawo odstąpić od niniejszej umowy w przypadku niespełnienia przez Nabywcę świadczenia pieniężnego w terminie lub wysokości określonej w niniejszej umowie, mimo wezwania Nabywcy w formie pisemnej do uiszczenia zaległych kwot w terminie 30 (trzydzieści) dni od dnia doręczenia Nabywcy stosownego wezwania do zapłaty, chyba że niespełnienie przez Nabywcę świadczenia pieniężnego jest spowodowane działaniem siły wyższej.</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right" w:leader="none" w:pos="360"/>
                <w:tab w:val="right" w:leader="none" w:pos="9120"/>
              </w:tabs>
              <w:spacing w:after="0" w:before="0" w:line="288" w:lineRule="auto"/>
              <w:ind w:left="36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 przypadku nieskorzystania przez Dewelopera z prawa odstąpienia od umowy, o którym mowa w niniejszym ustępie, Deweloperowi przysługuje prawo do żądania od Nabywcy odsetek umownych w wysokości 2% (dwa procent) w stosunku rocznym liczonych od terminów wymagalności zaległych kwot należnych z określonych w harmonogramie płatności.</w:t>
              <w:tab/>
            </w:r>
          </w:p>
          <w:p w:rsidR="00000000" w:rsidDel="00000000" w:rsidP="00000000" w:rsidRDefault="00000000" w:rsidRPr="00000000" w14:paraId="000001D1">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Deweloper ma prawo odstąpić od niniejszej umowy w przypadku niestawienia się Nabywcy do odbioru lokalu mieszkalnego lub do podpisania aktu notarialnego przenoszącego na Nabywcę prawo własności lokalu mieszkalnego, pomimo dwukrotnego doręczenia wezwania w formie pisemnej w odstępie co najmniej 60 (sześćdziesiąt) dni, chyba że niestawienie się Nabywcy jest spowodowane działaniem siły wyższej.</w:t>
              <w:tab/>
            </w:r>
          </w:p>
          <w:p w:rsidR="00000000" w:rsidDel="00000000" w:rsidP="00000000" w:rsidRDefault="00000000" w:rsidRPr="00000000" w14:paraId="000001D2">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razie odstąpienia przez Nabywcę od niniejszej umowy z przyczyny wskazanej w ust. I  pkt 1 ppkt 6 powyżej, Deweloper zobowiązany będzie do zapłacenia Nabywcy kary umownej w wysokości 3% ceny lokalu mieszkalnego.</w:t>
              <w:tab/>
            </w:r>
          </w:p>
          <w:p w:rsidR="00000000" w:rsidDel="00000000" w:rsidP="00000000" w:rsidRDefault="00000000" w:rsidRPr="00000000" w14:paraId="000001D3">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razie odstąpienia przez Dewelopera od niniejszej umowy z przyczyn wskazanych w ust. I  pkt 8 powyżej, Nabywca zobowiązany będzie do zapłacenia Deweloperowi kary umownej w wysokości 3% ceny lokalu mieszkalnego.</w:t>
              <w:tab/>
            </w:r>
          </w:p>
          <w:p w:rsidR="00000000" w:rsidDel="00000000" w:rsidP="00000000" w:rsidRDefault="00000000" w:rsidRPr="00000000" w14:paraId="000001D4">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Oświadczenie woli Nabywcy o odstąpieniu od niniejszej umowy jest skuteczne, jeżeli zawiera zgodę na wykreślenie roszczenia o przeniesienie własności lokalu mieszkalnego złożone w formie pisemnej z podpisami notarialnie poświadczonymi, w przypadku gdy został złożony wniosek o wpis takiego roszczenia do księgi wieczystej nieruchomości. Zasada, o której mowa w zdaniu poprzedzającym, dotyczy wszystkich przypadków, w których – zgodnie z postanowieniami niniejszej umowy oraz obowiązującymi przepisami prawa – Nabywca będzie uprawniony do odstąpienia od niniejszej umowy i z uprawnienia tego skorzysta.</w:t>
              <w:tab/>
            </w:r>
          </w:p>
          <w:p w:rsidR="00000000" w:rsidDel="00000000" w:rsidP="00000000" w:rsidRDefault="00000000" w:rsidRPr="00000000" w14:paraId="000001D5">
            <w:pPr>
              <w:numPr>
                <w:ilvl w:val="0"/>
                <w:numId w:val="14"/>
              </w:numPr>
              <w:tabs>
                <w:tab w:val="right" w:leader="none" w:pos="360"/>
                <w:tab w:val="right" w:leader="none" w:pos="9120"/>
              </w:tabs>
              <w:spacing w:after="0" w:line="288" w:lineRule="auto"/>
              <w:ind w:left="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 przypadku odstąpienia od niniejszej umowy przez Dewelopera na podstawie ust. I  pkt 7 lub pkt 8 powyżej, Nabywca zobowiązany jest wyrazić zgodę w formie pisemnej z podpisami poświadczonymi przez notariusza, na wykreślenie roszczenia o przeniesienie własności lokalu z księgi wieczystej nieruchomości – w terminie 7 (siedem) dni od dnia doręczenia Nabywcy oświadczenia o odstąpieniu od niniejszej umowy. Nabywca zobowiązany jest wyrazić zgodę, o której mowa w zdaniu poprzedzającym, także we wszystkich innych przypadkach, w których – zgodnie z obowiązującymi przepisami prawa – Deweloper będzie uprawniony do odstąpienia od niniejszej umowy i z uprawnienia tego skorzysta.</w:t>
              <w:tab/>
            </w:r>
          </w:p>
          <w:p w:rsidR="00000000" w:rsidDel="00000000" w:rsidP="00000000" w:rsidRDefault="00000000" w:rsidRPr="00000000" w14:paraId="000001D6">
            <w:pPr>
              <w:tabs>
                <w:tab w:val="right" w:leader="none" w:pos="9120"/>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II.          </w:t>
            </w:r>
            <w:r w:rsidDel="00000000" w:rsidR="00000000" w:rsidRPr="00000000">
              <w:rPr>
                <w:rFonts w:ascii="Times New Roman" w:cs="Times New Roman" w:eastAsia="Times New Roman" w:hAnsi="Times New Roman"/>
                <w:sz w:val="20"/>
                <w:szCs w:val="20"/>
                <w:rtl w:val="0"/>
              </w:rPr>
              <w:t xml:space="preserve">Nadto strony postanawiają, że poza opisanymi wyżej w niniejszym paragrafie oraz w </w:t>
            </w:r>
            <w:r w:rsidDel="00000000" w:rsidR="00000000" w:rsidRPr="00000000">
              <w:rPr>
                <w:rFonts w:ascii="Times New Roman" w:cs="Times New Roman" w:eastAsia="Times New Roman" w:hAnsi="Times New Roman"/>
                <w:sz w:val="20"/>
                <w:szCs w:val="20"/>
                <w:rtl w:val="0"/>
              </w:rPr>
              <w:t xml:space="preserve">§ 12 pkt „c” i § 10 pkt 4</w:t>
            </w:r>
            <w:r w:rsidDel="00000000" w:rsidR="00000000" w:rsidRPr="00000000">
              <w:rPr>
                <w:rFonts w:ascii="Times New Roman" w:cs="Times New Roman" w:eastAsia="Times New Roman" w:hAnsi="Times New Roman"/>
                <w:sz w:val="20"/>
                <w:szCs w:val="20"/>
                <w:rtl w:val="0"/>
              </w:rPr>
              <w:t xml:space="preserve"> przypadkami:</w:t>
              <w:tab/>
            </w:r>
          </w:p>
          <w:p w:rsidR="00000000" w:rsidDel="00000000" w:rsidP="00000000" w:rsidRDefault="00000000" w:rsidRPr="00000000" w14:paraId="000001D7">
            <w:pPr>
              <w:tabs>
                <w:tab w:val="right" w:leader="none" w:pos="9120"/>
              </w:tabs>
              <w:spacing w:after="0" w:line="288" w:lineRule="auto"/>
              <w:jc w:val="both"/>
              <w:rPr>
                <w:rFonts w:ascii="Times New Roman" w:cs="Times New Roman" w:eastAsia="Times New Roman" w:hAnsi="Times New Roman"/>
                <w:sz w:val="11"/>
                <w:szCs w:val="11"/>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Nabywcy przysługuje prawo odstąpienia</w:t>
            </w:r>
            <w:r w:rsidDel="00000000" w:rsidR="00000000" w:rsidRPr="00000000">
              <w:rPr>
                <w:rFonts w:ascii="Times New Roman" w:cs="Times New Roman" w:eastAsia="Times New Roman" w:hAnsi="Times New Roman"/>
                <w:sz w:val="20"/>
                <w:szCs w:val="20"/>
                <w:rtl w:val="0"/>
              </w:rPr>
              <w:t xml:space="preserve"> od niniejszej umowy – w terminie do 30 dni licząc od dnia zawarcia niniejszej umowy – </w:t>
            </w:r>
            <w:r w:rsidDel="00000000" w:rsidR="00000000" w:rsidRPr="00000000">
              <w:rPr>
                <w:rFonts w:ascii="Times New Roman" w:cs="Times New Roman" w:eastAsia="Times New Roman" w:hAnsi="Times New Roman"/>
                <w:b w:val="1"/>
                <w:sz w:val="20"/>
                <w:szCs w:val="20"/>
                <w:rtl w:val="0"/>
              </w:rPr>
              <w:t xml:space="preserve">bez podania przyczyny – </w:t>
            </w:r>
            <w:r w:rsidDel="00000000" w:rsidR="00000000" w:rsidRPr="00000000">
              <w:rPr>
                <w:rFonts w:ascii="Times New Roman" w:cs="Times New Roman" w:eastAsia="Times New Roman" w:hAnsi="Times New Roman"/>
                <w:sz w:val="20"/>
                <w:szCs w:val="20"/>
                <w:rtl w:val="0"/>
              </w:rPr>
              <w:t xml:space="preserve">za zapłatą odstępnego w wysokości kwoty 5.000,-zł (pięć tysięcy złotych).</w:t>
            </w:r>
            <w:r w:rsidDel="00000000" w:rsidR="00000000" w:rsidRPr="00000000">
              <w:rPr>
                <w:rtl w:val="0"/>
              </w:rPr>
            </w:r>
          </w:p>
        </w:tc>
      </w:tr>
      <w:tr>
        <w:trPr>
          <w:cantSplit w:val="0"/>
          <w:trHeight w:val="510" w:hRule="atLeast"/>
          <w:tblHeader w:val="0"/>
        </w:trPr>
        <w:tc>
          <w:tcPr>
            <w:gridSpan w:val="3"/>
            <w:tcBorders>
              <w:bottom w:color="000000" w:space="0" w:sz="4" w:val="single"/>
            </w:tcBorders>
            <w:shd w:fill="d9d9d9" w:val="clear"/>
          </w:tcPr>
          <w:p w:rsidR="00000000" w:rsidDel="00000000" w:rsidP="00000000" w:rsidRDefault="00000000" w:rsidRPr="00000000" w14:paraId="000001D9">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INNE INFORMACJE </w:t>
            </w:r>
          </w:p>
        </w:tc>
      </w:tr>
      <w:tr>
        <w:trPr>
          <w:cantSplit w:val="0"/>
          <w:trHeight w:val="1512" w:hRule="atLeast"/>
          <w:tblHeader w:val="0"/>
        </w:trPr>
        <w:tc>
          <w:tcPr>
            <w:gridSpan w:val="3"/>
            <w:tcBorders>
              <w:bottom w:color="000000" w:space="0" w:sz="0" w:val="nil"/>
            </w:tcBorders>
            <w:shd w:fill="f3f3f3" w:val="clear"/>
          </w:tcPr>
          <w:p w:rsidR="00000000" w:rsidDel="00000000" w:rsidP="00000000" w:rsidRDefault="00000000" w:rsidRPr="00000000" w14:paraId="000001D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Informacja o:</w:t>
            </w:r>
          </w:p>
          <w:p w:rsidR="00000000" w:rsidDel="00000000" w:rsidP="00000000" w:rsidRDefault="00000000" w:rsidRPr="00000000" w14:paraId="000001DD">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zgodzie 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rsidR="00000000" w:rsidDel="00000000" w:rsidP="00000000" w:rsidRDefault="00000000" w:rsidRPr="00000000" w14:paraId="000001DE">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w przypadku umów, o których mowa w art. 2 ust. 2 ustawy z dnia … o ochronie praw nabywcy lokalu mieszkalnego lub domu jednorodzinnego oraz o Deweloperskim Funduszu Gwarancyjnym, o 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trPr>
          <w:cantSplit w:val="0"/>
          <w:trHeight w:val="1512" w:hRule="atLeast"/>
          <w:tblHeader w:val="0"/>
        </w:trPr>
        <w:tc>
          <w:tcPr>
            <w:gridSpan w:val="3"/>
            <w:tcBorders>
              <w:top w:color="000000" w:space="0" w:sz="0" w:val="nil"/>
              <w:bottom w:color="000000" w:space="0" w:sz="0" w:val="nil"/>
            </w:tcBorders>
            <w:shd w:fill="ffffff" w:val="clear"/>
          </w:tcPr>
          <w:p w:rsidR="00000000" w:rsidDel="00000000" w:rsidP="00000000" w:rsidRDefault="00000000" w:rsidRPr="00000000" w14:paraId="000001E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Informacja o możliwości zapoznania się w lokalu przedsiębiorstwa przez osobę zainteresowaną zawarciem umowy odpowiednio do zakresu umowy z:</w:t>
            </w:r>
          </w:p>
          <w:p w:rsidR="00000000" w:rsidDel="00000000" w:rsidP="00000000" w:rsidRDefault="00000000" w:rsidRPr="00000000" w14:paraId="000001E2">
            <w:pPr>
              <w:widowControl w:val="0"/>
              <w:numPr>
                <w:ilvl w:val="0"/>
                <w:numId w:val="9"/>
              </w:numPr>
              <w:spacing w:after="0" w:before="144"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aktualnym stanem księgi wieczystej;</w:t>
            </w:r>
          </w:p>
          <w:p w:rsidR="00000000" w:rsidDel="00000000" w:rsidP="00000000" w:rsidRDefault="00000000" w:rsidRPr="00000000" w14:paraId="000001E3">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rsidR="00000000" w:rsidDel="00000000" w:rsidP="00000000" w:rsidRDefault="00000000" w:rsidRPr="00000000" w14:paraId="000001E4">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kopią decyzji o pozwoleniu na budowę;</w:t>
            </w:r>
          </w:p>
          <w:p w:rsidR="00000000" w:rsidDel="00000000" w:rsidP="00000000" w:rsidRDefault="00000000" w:rsidRPr="00000000" w14:paraId="000001E5">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sprawozdaniem finansowym dewelopera za ostatnie dwa lata, a w przypadku realizacji inwestycji przez spółkę celową – sprawozdaniem spółki dominującej oraz spółki celowej;</w:t>
            </w:r>
          </w:p>
          <w:p w:rsidR="00000000" w:rsidDel="00000000" w:rsidP="00000000" w:rsidRDefault="00000000" w:rsidRPr="00000000" w14:paraId="000001E6">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projektem budowlanym;</w:t>
            </w:r>
          </w:p>
          <w:p w:rsidR="00000000" w:rsidDel="00000000" w:rsidP="00000000" w:rsidRDefault="00000000" w:rsidRPr="00000000" w14:paraId="000001E7">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kopią decyzji o pozwoleniu na użytkowanie budynku;</w:t>
            </w:r>
          </w:p>
          <w:p w:rsidR="00000000" w:rsidDel="00000000" w:rsidP="00000000" w:rsidRDefault="00000000" w:rsidRPr="00000000" w14:paraId="000001E8">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zaświadczeniem o samodzielności lokalu;</w:t>
            </w:r>
          </w:p>
          <w:p w:rsidR="00000000" w:rsidDel="00000000" w:rsidP="00000000" w:rsidRDefault="00000000" w:rsidRPr="00000000" w14:paraId="000001E9">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aktem ustanowienia odrębnej własności lokalu;</w:t>
            </w:r>
          </w:p>
          <w:p w:rsidR="00000000" w:rsidDel="00000000" w:rsidP="00000000" w:rsidRDefault="00000000" w:rsidRPr="00000000" w14:paraId="000001EA">
            <w:pPr>
              <w:widowControl w:val="0"/>
              <w:numPr>
                <w:ilvl w:val="0"/>
                <w:numId w:val="9"/>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dokumentem potwierdzającym:</w:t>
            </w:r>
          </w:p>
          <w:p w:rsidR="00000000" w:rsidDel="00000000" w:rsidP="00000000" w:rsidRDefault="00000000" w:rsidRPr="00000000" w14:paraId="000001EB">
            <w:pPr>
              <w:widowControl w:val="0"/>
              <w:numPr>
                <w:ilvl w:val="0"/>
                <w:numId w:val="10"/>
              </w:numPr>
              <w:spacing w:after="0" w:line="240" w:lineRule="auto"/>
              <w:ind w:left="1163" w:hanging="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zgodę 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rsidR="00000000" w:rsidDel="00000000" w:rsidP="00000000" w:rsidRDefault="00000000" w:rsidRPr="00000000" w14:paraId="000001EC">
            <w:pPr>
              <w:widowControl w:val="0"/>
              <w:numPr>
                <w:ilvl w:val="0"/>
                <w:numId w:val="10"/>
              </w:numPr>
              <w:spacing w:after="144" w:line="240" w:lineRule="auto"/>
              <w:ind w:left="1163" w:hanging="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umów, o których mowa w art. 2 ust. 2 z dnia 20 maja 2021r o ochronie praw nabywcy lokalu mieszkalnego lub domu jednorodzinnego oraz o Deweloperskim Funduszu Gwarancyjnym, 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trPr>
          <w:cantSplit w:val="0"/>
          <w:trHeight w:val="1512" w:hRule="atLeast"/>
          <w:tblHeader w:val="0"/>
        </w:trPr>
        <w:tc>
          <w:tcPr>
            <w:gridSpan w:val="3"/>
            <w:tcBorders>
              <w:top w:color="000000" w:space="0" w:sz="0" w:val="nil"/>
              <w:bottom w:color="000000" w:space="0" w:sz="8" w:val="single"/>
            </w:tcBorders>
            <w:shd w:fill="ffffff" w:val="clear"/>
          </w:tcPr>
          <w:p w:rsidR="00000000" w:rsidDel="00000000" w:rsidP="00000000" w:rsidRDefault="00000000" w:rsidRPr="00000000" w14:paraId="000001E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Informacja:</w:t>
            </w:r>
          </w:p>
          <w:p w:rsidR="00000000" w:rsidDel="00000000" w:rsidP="00000000" w:rsidRDefault="00000000" w:rsidRPr="00000000" w14:paraId="000001F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Środki pieniężne zgromadzone w Nadsańskim Banku Spółdzielczym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rsidR="00000000" w:rsidDel="00000000" w:rsidP="00000000" w:rsidRDefault="00000000" w:rsidRPr="00000000" w14:paraId="000001F1">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podstawowe o obowiązkowym systemie gwarantowania depozytów:</w:t>
            </w:r>
          </w:p>
          <w:p w:rsidR="00000000" w:rsidDel="00000000" w:rsidP="00000000" w:rsidRDefault="00000000" w:rsidRPr="00000000" w14:paraId="000001F3">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ochrona środków dotyczy sytuacji spełnienia warunku gwarancji wobec Nadsańskiego Banku Spółdzielczego,</w:t>
            </w:r>
          </w:p>
          <w:p w:rsidR="00000000" w:rsidDel="00000000" w:rsidP="00000000" w:rsidRDefault="00000000" w:rsidRPr="00000000" w14:paraId="000001F4">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rsidR="00000000" w:rsidDel="00000000" w:rsidP="00000000" w:rsidRDefault="00000000" w:rsidRPr="00000000" w14:paraId="000001F5">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rsidR="00000000" w:rsidDel="00000000" w:rsidP="00000000" w:rsidRDefault="00000000" w:rsidRPr="00000000" w14:paraId="000001F6">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rsidR="00000000" w:rsidDel="00000000" w:rsidP="00000000" w:rsidRDefault="00000000" w:rsidRPr="00000000" w14:paraId="000001F7">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wypłata środków gwarantowanych – co do zasady – następuje w terminie 7 dni roboczych od dnia spełnienia warunku gwarancji wobec banku,</w:t>
            </w:r>
          </w:p>
          <w:p w:rsidR="00000000" w:rsidDel="00000000" w:rsidP="00000000" w:rsidRDefault="00000000" w:rsidRPr="00000000" w14:paraId="000001F8">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wypłata środków gwarantowanych jest dokonywana w złotych,</w:t>
            </w:r>
          </w:p>
          <w:p w:rsidR="00000000" w:rsidDel="00000000" w:rsidP="00000000" w:rsidRDefault="00000000" w:rsidRPr="00000000" w14:paraId="000001F9">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Nadsański Bank Spółdzielczy korzysta także z następujących znaków towarowych: Sanbank</w:t>
            </w:r>
          </w:p>
          <w:p w:rsidR="00000000" w:rsidDel="00000000" w:rsidP="00000000" w:rsidRDefault="00000000" w:rsidRPr="00000000" w14:paraId="000001F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Dalsze informacje na temat systemu gwarantowania depozytów można uzyskać na stronie internetowej Bankowego Funduszu Gwarancyjnego: https://www.bfg.pl/.</w:t>
            </w:r>
          </w:p>
          <w:p w:rsidR="00000000" w:rsidDel="00000000" w:rsidP="00000000" w:rsidRDefault="00000000" w:rsidRPr="00000000" w14:paraId="000001FB">
            <w:pPr>
              <w:widowControl w:val="0"/>
              <w:numPr>
                <w:ilvl w:val="0"/>
                <w:numId w:val="8"/>
              </w:numPr>
              <w:tabs>
                <w:tab w:val="left" w:leader="none" w:pos="728"/>
              </w:tabs>
              <w:spacing w:after="0" w:before="144" w:line="240" w:lineRule="auto"/>
              <w:ind w:left="30"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Informacja zamieszczana w przypadku zawarcia umowy mieszkaniowego rachunku powierniczego z oddziałem instytucji kredytowej, o której mowa w art. 4 ust. 1 pkt 18 ustawy z dnia 29 sierpnia 1997 r. – Prawo bankowe (Dz. U. z 2020 r. poz. 1896, 2320 i 2419).</w:t>
            </w:r>
          </w:p>
          <w:p w:rsidR="00000000" w:rsidDel="00000000" w:rsidP="00000000" w:rsidRDefault="00000000" w:rsidRPr="00000000" w14:paraId="000001FC">
            <w:pPr>
              <w:spacing w:after="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r>
        <w:trPr>
          <w:cantSplit w:val="0"/>
          <w:trHeight w:val="1512"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FF">
            <w:pPr>
              <w:spacing w:after="0" w:line="240" w:lineRule="auto"/>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Deweloper  zastrzega, iż w trakcie realizacji przedsięwzięcia deweloperskiego może zaciągać kredyty na realizację tegoż przedsięwzięcia deweloperskiego w konsekwencji w dziale IV księgi wieczystej mogą zostać wpisane hipoteki, stanowiące zabezpieczenie kredytów, które zostaną zaciągnięte przez Dewelopera na realizację przedsięwzięcia deweloperskiego.</w:t>
            </w:r>
            <w:r w:rsidDel="00000000" w:rsidR="00000000" w:rsidRPr="00000000">
              <w:rPr>
                <w:rtl w:val="0"/>
              </w:rPr>
            </w:r>
          </w:p>
        </w:tc>
      </w:tr>
      <w:tr>
        <w:trPr>
          <w:cantSplit w:val="0"/>
          <w:trHeight w:val="1512"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Budowa rozpoczęła się na działkach 118/2 oraz 119/2 w Golkowicach  natomiast przed przekazaniem lokali nastąpi scalenie tych dwóch działek a następnie ich podział według projektu podziału który znajduje się w  załączniku nr 6 do prospektu. Dla każdej z wydzielonych działek zostanie ustanowiona służebność dojazdu do drogi publicznej. Bliższy opis w/w podziału zawiera wzór umowy deweloperskiej.</w:t>
            </w:r>
          </w:p>
        </w:tc>
      </w:tr>
    </w:tbl>
    <w:p w:rsidR="00000000" w:rsidDel="00000000" w:rsidP="00000000" w:rsidRDefault="00000000" w:rsidRPr="00000000" w14:paraId="00000205">
      <w:pPr>
        <w:spacing w:after="144" w:before="144"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06">
      <w:pPr>
        <w:spacing w:after="144" w:before="144"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07">
      <w:pPr>
        <w:spacing w:after="144" w:before="144"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08">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CZĘŚĆ INDYWIDUALNA</w:t>
      </w:r>
    </w:p>
    <w:p w:rsidR="00000000" w:rsidDel="00000000" w:rsidP="00000000" w:rsidRDefault="00000000" w:rsidRPr="00000000" w14:paraId="00000209">
      <w:pPr>
        <w:spacing w:after="144" w:before="144" w:line="240" w:lineRule="auto"/>
        <w:rPr>
          <w:rFonts w:ascii="Times New Roman" w:cs="Times New Roman" w:eastAsia="Times New Roman" w:hAnsi="Times New Roman"/>
          <w:b w:val="1"/>
          <w:sz w:val="20"/>
          <w:szCs w:val="20"/>
        </w:rPr>
      </w:pPr>
      <w:r w:rsidDel="00000000" w:rsidR="00000000" w:rsidRPr="00000000">
        <w:rPr>
          <w:rtl w:val="0"/>
        </w:rPr>
      </w:r>
    </w:p>
    <w:tbl>
      <w:tblPr>
        <w:tblStyle w:val="Table6"/>
        <w:tblW w:w="90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69"/>
        <w:gridCol w:w="2904"/>
        <w:tblGridChange w:id="0">
          <w:tblGrid>
            <w:gridCol w:w="3071"/>
            <w:gridCol w:w="3069"/>
            <w:gridCol w:w="2904"/>
          </w:tblGrid>
        </w:tblGridChange>
      </w:tblGrid>
      <w:tr>
        <w:trPr>
          <w:cantSplit w:val="0"/>
          <w:tblHeader w:val="0"/>
        </w:trPr>
        <w:tc>
          <w:tcPr>
            <w:tcBorders>
              <w:bottom w:color="000000" w:space="0" w:sz="4" w:val="single"/>
            </w:tcBorders>
            <w:shd w:fill="f2f2f2" w:val="clear"/>
          </w:tcPr>
          <w:p w:rsidR="00000000" w:rsidDel="00000000" w:rsidP="00000000" w:rsidRDefault="00000000" w:rsidRPr="00000000" w14:paraId="0000020A">
            <w:pPr>
              <w:spacing w:after="144" w:before="144" w:lineRule="auto"/>
              <w:jc w:val="both"/>
              <w:rPr/>
            </w:pPr>
            <w:r w:rsidDel="00000000" w:rsidR="00000000" w:rsidRPr="00000000">
              <w:rPr>
                <w:rtl w:val="0"/>
              </w:rPr>
              <w:t xml:space="preserve">Cena lokalu mieszkalnego albo domu jednorodzinnego</w:t>
            </w:r>
          </w:p>
        </w:tc>
        <w:tc>
          <w:tcPr>
            <w:gridSpan w:val="2"/>
          </w:tcPr>
          <w:p w:rsidR="00000000" w:rsidDel="00000000" w:rsidP="00000000" w:rsidRDefault="00000000" w:rsidRPr="00000000" w14:paraId="0000020B">
            <w:pPr>
              <w:spacing w:after="144" w:before="144" w:lineRule="auto"/>
              <w:jc w:val="center"/>
              <w:rPr>
                <w:b w:val="1"/>
              </w:rPr>
            </w:pPr>
            <w:r w:rsidDel="00000000" w:rsidR="00000000" w:rsidRPr="00000000">
              <w:rPr>
                <w:b w:val="1"/>
                <w:rtl w:val="0"/>
              </w:rPr>
              <w:t xml:space="preserve">… brutto</w:t>
            </w:r>
          </w:p>
        </w:tc>
      </w:tr>
      <w:tr>
        <w:trPr>
          <w:cantSplit w:val="0"/>
          <w:tblHeader w:val="0"/>
        </w:trPr>
        <w:tc>
          <w:tcPr>
            <w:tcBorders>
              <w:bottom w:color="000000" w:space="0" w:sz="4" w:val="single"/>
            </w:tcBorders>
            <w:shd w:fill="f2f2f2" w:val="clear"/>
          </w:tcPr>
          <w:p w:rsidR="00000000" w:rsidDel="00000000" w:rsidP="00000000" w:rsidRDefault="00000000" w:rsidRPr="00000000" w14:paraId="0000020D">
            <w:pPr>
              <w:spacing w:after="144" w:before="144" w:lineRule="auto"/>
              <w:jc w:val="both"/>
              <w:rPr/>
            </w:pPr>
            <w:r w:rsidDel="00000000" w:rsidR="00000000" w:rsidRPr="00000000">
              <w:rPr>
                <w:rtl w:val="0"/>
              </w:rPr>
              <w:t xml:space="preserve">Powierzchnia użytkowa lokalu mieszkalnego albo domu jednorodzinnego</w:t>
            </w:r>
          </w:p>
        </w:tc>
        <w:tc>
          <w:tcPr>
            <w:gridSpan w:val="2"/>
            <w:vAlign w:val="center"/>
          </w:tcPr>
          <w:p w:rsidR="00000000" w:rsidDel="00000000" w:rsidP="00000000" w:rsidRDefault="00000000" w:rsidRPr="00000000" w14:paraId="0000020E">
            <w:pPr>
              <w:spacing w:after="144" w:before="144" w:lineRule="auto"/>
              <w:jc w:val="center"/>
              <w:rPr>
                <w:b w:val="1"/>
              </w:rPr>
            </w:pPr>
            <w:r w:rsidDel="00000000" w:rsidR="00000000" w:rsidRPr="00000000">
              <w:rPr>
                <w:b w:val="1"/>
                <w:rtl w:val="0"/>
              </w:rPr>
              <w:t xml:space="preserve">101,90m2</w:t>
            </w:r>
          </w:p>
        </w:tc>
      </w:tr>
      <w:tr>
        <w:trPr>
          <w:cantSplit w:val="0"/>
          <w:tblHeader w:val="0"/>
        </w:trPr>
        <w:tc>
          <w:tcPr>
            <w:tcBorders>
              <w:bottom w:color="000000" w:space="0" w:sz="4" w:val="single"/>
            </w:tcBorders>
            <w:shd w:fill="f2f2f2" w:val="clear"/>
          </w:tcPr>
          <w:p w:rsidR="00000000" w:rsidDel="00000000" w:rsidP="00000000" w:rsidRDefault="00000000" w:rsidRPr="00000000" w14:paraId="00000210">
            <w:pPr>
              <w:spacing w:after="144" w:before="144" w:lineRule="auto"/>
              <w:jc w:val="both"/>
              <w:rPr/>
            </w:pPr>
            <w:r w:rsidDel="00000000" w:rsidR="00000000" w:rsidRPr="00000000">
              <w:rPr>
                <w:rtl w:val="0"/>
              </w:rPr>
              <w:t xml:space="preserve">Cena m</w:t>
            </w:r>
            <w:r w:rsidDel="00000000" w:rsidR="00000000" w:rsidRPr="00000000">
              <w:rPr>
                <w:vertAlign w:val="superscript"/>
                <w:rtl w:val="0"/>
              </w:rPr>
              <w:t xml:space="preserve">2</w:t>
            </w:r>
            <w:r w:rsidDel="00000000" w:rsidR="00000000" w:rsidRPr="00000000">
              <w:rPr>
                <w:rtl w:val="0"/>
              </w:rPr>
              <w:t xml:space="preserve"> powierzchni użytkowej lokalu mieszkalnego albo domu jednorodzinnego</w:t>
            </w:r>
          </w:p>
        </w:tc>
        <w:tc>
          <w:tcPr>
            <w:gridSpan w:val="2"/>
            <w:vAlign w:val="center"/>
          </w:tcPr>
          <w:p w:rsidR="00000000" w:rsidDel="00000000" w:rsidP="00000000" w:rsidRDefault="00000000" w:rsidRPr="00000000" w14:paraId="00000211">
            <w:pPr>
              <w:spacing w:after="144" w:before="144" w:lineRule="auto"/>
              <w:jc w:val="center"/>
              <w:rPr>
                <w:b w:val="1"/>
              </w:rPr>
            </w:pPr>
            <w:r w:rsidDel="00000000" w:rsidR="00000000" w:rsidRPr="00000000">
              <w:rPr>
                <w:b w:val="1"/>
                <w:rtl w:val="0"/>
              </w:rPr>
              <w:t xml:space="preserve">Cena m2 powierzchni użytkowej lokalu mieszkalnego: </w:t>
            </w:r>
          </w:p>
          <w:p w:rsidR="00000000" w:rsidDel="00000000" w:rsidP="00000000" w:rsidRDefault="00000000" w:rsidRPr="00000000" w14:paraId="00000212">
            <w:pPr>
              <w:spacing w:after="144" w:before="144" w:lineRule="auto"/>
              <w:jc w:val="center"/>
              <w:rPr>
                <w:b w:val="1"/>
              </w:rPr>
            </w:pPr>
            <w:r w:rsidDel="00000000" w:rsidR="00000000" w:rsidRPr="00000000">
              <w:rPr>
                <w:b w:val="1"/>
                <w:rtl w:val="0"/>
              </w:rPr>
              <w:t xml:space="preserve">……… zł brutto za m2</w:t>
            </w:r>
          </w:p>
        </w:tc>
      </w:tr>
      <w:tr>
        <w:trPr>
          <w:cantSplit w:val="0"/>
          <w:tblHeader w:val="0"/>
        </w:trPr>
        <w:tc>
          <w:tcPr>
            <w:tcBorders>
              <w:bottom w:color="000000" w:space="0" w:sz="4" w:val="single"/>
            </w:tcBorders>
            <w:shd w:fill="f2f2f2" w:val="clear"/>
          </w:tcPr>
          <w:p w:rsidR="00000000" w:rsidDel="00000000" w:rsidP="00000000" w:rsidRDefault="00000000" w:rsidRPr="00000000" w14:paraId="00000214">
            <w:pPr>
              <w:spacing w:after="144" w:before="144" w:lineRule="auto"/>
              <w:jc w:val="both"/>
              <w:rPr/>
            </w:pPr>
            <w:r w:rsidDel="00000000" w:rsidR="00000000" w:rsidRPr="00000000">
              <w:rPr>
                <w:rtl w:val="0"/>
              </w:rPr>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gridSpan w:val="2"/>
            <w:vAlign w:val="center"/>
          </w:tcPr>
          <w:p w:rsidR="00000000" w:rsidDel="00000000" w:rsidP="00000000" w:rsidRDefault="00000000" w:rsidRPr="00000000" w14:paraId="00000215">
            <w:pPr>
              <w:spacing w:after="144" w:before="144" w:lineRule="auto"/>
              <w:jc w:val="center"/>
              <w:rPr>
                <w:b w:val="1"/>
              </w:rPr>
            </w:pPr>
            <w:r w:rsidDel="00000000" w:rsidR="00000000" w:rsidRPr="00000000">
              <w:rPr>
                <w:b w:val="1"/>
                <w:rtl w:val="0"/>
              </w:rPr>
              <w:t xml:space="preserve">30.06.2026r</w:t>
            </w:r>
          </w:p>
        </w:tc>
      </w:tr>
      <w:tr>
        <w:trPr>
          <w:cantSplit w:val="0"/>
          <w:tblHeader w:val="0"/>
        </w:trPr>
        <w:tc>
          <w:tcPr>
            <w:tcBorders>
              <w:bottom w:color="000000" w:space="0" w:sz="0" w:val="nil"/>
            </w:tcBorders>
            <w:shd w:fill="f2f2f2" w:val="clear"/>
          </w:tcPr>
          <w:p w:rsidR="00000000" w:rsidDel="00000000" w:rsidP="00000000" w:rsidRDefault="00000000" w:rsidRPr="00000000" w14:paraId="00000217">
            <w:pPr>
              <w:spacing w:after="144" w:before="144" w:lineRule="auto"/>
              <w:jc w:val="both"/>
              <w:rPr/>
            </w:pPr>
            <w:r w:rsidDel="00000000" w:rsidR="00000000" w:rsidRPr="00000000">
              <w:rPr>
                <w:rtl w:val="0"/>
              </w:rPr>
              <w:t xml:space="preserve">Określenie położenia oraz istotnych cech domu jednorodzinnego albo budynku, w którym ma znajdować się lokal mieszkalny będący przedmiotem umowy rezerwacyjnej albo umowy deweloperskiej, albo umowy, o której mowa w art. 2 ust. 1 pkt 2, 3 lub 5 lub umów, o których mowa w art. 2 ust. 2 ustawy z dnia … o ochronie praw nabywcy lokalu mieszkalnego lub domu jednorodzinnego oraz o Deweloperskim Funduszu Gwarancyjnym</w:t>
            </w:r>
          </w:p>
        </w:tc>
        <w:tc>
          <w:tcPr>
            <w:vMerge w:val="restart"/>
          </w:tcPr>
          <w:p w:rsidR="00000000" w:rsidDel="00000000" w:rsidP="00000000" w:rsidRDefault="00000000" w:rsidRPr="00000000" w14:paraId="00000218">
            <w:pPr>
              <w:spacing w:after="144" w:before="144" w:lineRule="auto"/>
              <w:rPr/>
            </w:pPr>
            <w:r w:rsidDel="00000000" w:rsidR="00000000" w:rsidRPr="00000000">
              <w:rPr>
                <w:rtl w:val="0"/>
              </w:rPr>
              <w:t xml:space="preserve">Liczba kondygnacji</w:t>
            </w:r>
          </w:p>
        </w:tc>
        <w:tc>
          <w:tcPr>
            <w:vMerge w:val="restart"/>
          </w:tcPr>
          <w:p w:rsidR="00000000" w:rsidDel="00000000" w:rsidP="00000000" w:rsidRDefault="00000000" w:rsidRPr="00000000" w14:paraId="00000219">
            <w:pPr>
              <w:spacing w:after="144" w:before="144" w:lineRule="auto"/>
              <w:rPr>
                <w:b w:val="1"/>
              </w:rPr>
            </w:pPr>
            <w:r w:rsidDel="00000000" w:rsidR="00000000" w:rsidRPr="00000000">
              <w:rPr>
                <w:b w:val="1"/>
                <w:rtl w:val="0"/>
              </w:rPr>
              <w:t xml:space="preserve">3</w:t>
            </w:r>
          </w:p>
        </w:tc>
      </w:tr>
      <w:tr>
        <w:trPr>
          <w:cantSplit w:val="0"/>
          <w:trHeight w:val="56" w:hRule="atLeast"/>
          <w:tblHeader w:val="0"/>
        </w:trPr>
        <w:tc>
          <w:tcPr>
            <w:tcBorders>
              <w:top w:color="000000" w:space="0" w:sz="0" w:val="nil"/>
              <w:bottom w:color="000000" w:space="0" w:sz="0" w:val="nil"/>
            </w:tcBorders>
            <w:shd w:fill="f2f2f2" w:val="clear"/>
          </w:tcPr>
          <w:p w:rsidR="00000000" w:rsidDel="00000000" w:rsidP="00000000" w:rsidRDefault="00000000" w:rsidRPr="00000000" w14:paraId="0000021A">
            <w:pPr>
              <w:spacing w:after="144" w:before="144" w:lineRule="auto"/>
              <w:rPr>
                <w:b w:val="1"/>
              </w:rPr>
            </w:pPr>
            <w:r w:rsidDel="00000000" w:rsidR="00000000" w:rsidRPr="00000000">
              <w:rPr>
                <w:rtl w:val="0"/>
              </w:rPr>
            </w:r>
          </w:p>
        </w:tc>
        <w:tc>
          <w:tcPr>
            <w:vMerge w:val="continue"/>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tcBorders>
              <w:top w:color="000000" w:space="0" w:sz="0" w:val="nil"/>
              <w:bottom w:color="000000" w:space="0" w:sz="4" w:val="single"/>
            </w:tcBorders>
            <w:shd w:fill="f2f2f2" w:val="clear"/>
          </w:tcPr>
          <w:p w:rsidR="00000000" w:rsidDel="00000000" w:rsidP="00000000" w:rsidRDefault="00000000" w:rsidRPr="00000000" w14:paraId="0000021D">
            <w:pPr>
              <w:spacing w:after="144" w:before="144" w:lineRule="auto"/>
              <w:rPr>
                <w:b w:val="1"/>
              </w:rPr>
            </w:pPr>
            <w:r w:rsidDel="00000000" w:rsidR="00000000" w:rsidRPr="00000000">
              <w:rPr>
                <w:rtl w:val="0"/>
              </w:rPr>
            </w:r>
          </w:p>
        </w:tc>
        <w:tc>
          <w:tcPr/>
          <w:p w:rsidR="00000000" w:rsidDel="00000000" w:rsidP="00000000" w:rsidRDefault="00000000" w:rsidRPr="00000000" w14:paraId="0000021E">
            <w:pPr>
              <w:spacing w:after="144" w:before="144" w:lineRule="auto"/>
              <w:rPr/>
            </w:pPr>
            <w:r w:rsidDel="00000000" w:rsidR="00000000" w:rsidRPr="00000000">
              <w:rPr>
                <w:rtl w:val="0"/>
              </w:rPr>
              <w:t xml:space="preserve">Technologia wykonania </w:t>
            </w:r>
          </w:p>
        </w:tc>
        <w:tc>
          <w:tcPr/>
          <w:p w:rsidR="00000000" w:rsidDel="00000000" w:rsidP="00000000" w:rsidRDefault="00000000" w:rsidRPr="00000000" w14:paraId="0000021F">
            <w:pPr>
              <w:spacing w:after="144" w:before="144" w:lineRule="auto"/>
              <w:rPr>
                <w:b w:val="1"/>
              </w:rPr>
            </w:pPr>
            <w:r w:rsidDel="00000000" w:rsidR="00000000" w:rsidRPr="00000000">
              <w:rPr>
                <w:b w:val="1"/>
                <w:rtl w:val="0"/>
              </w:rPr>
              <w:t xml:space="preserve">Tradycyjna</w:t>
            </w:r>
          </w:p>
        </w:tc>
      </w:tr>
      <w:tr>
        <w:trPr>
          <w:cantSplit w:val="0"/>
          <w:tblHeader w:val="0"/>
        </w:trPr>
        <w:tc>
          <w:tcPr>
            <w:tcBorders>
              <w:top w:color="000000" w:space="0" w:sz="4" w:val="single"/>
              <w:bottom w:color="000000" w:space="0" w:sz="0" w:val="nil"/>
            </w:tcBorders>
            <w:shd w:fill="f2f2f2" w:val="clear"/>
          </w:tcPr>
          <w:p w:rsidR="00000000" w:rsidDel="00000000" w:rsidP="00000000" w:rsidRDefault="00000000" w:rsidRPr="00000000" w14:paraId="00000220">
            <w:pPr>
              <w:spacing w:after="144" w:before="144" w:lineRule="auto"/>
              <w:rPr>
                <w:b w:val="1"/>
              </w:rPr>
            </w:pPr>
            <w:r w:rsidDel="00000000" w:rsidR="00000000" w:rsidRPr="00000000">
              <w:rPr>
                <w:rtl w:val="0"/>
              </w:rPr>
            </w:r>
          </w:p>
        </w:tc>
        <w:tc>
          <w:tcPr/>
          <w:p w:rsidR="00000000" w:rsidDel="00000000" w:rsidP="00000000" w:rsidRDefault="00000000" w:rsidRPr="00000000" w14:paraId="00000221">
            <w:pPr>
              <w:spacing w:after="144" w:before="144" w:lineRule="auto"/>
              <w:rPr/>
            </w:pPr>
            <w:r w:rsidDel="00000000" w:rsidR="00000000" w:rsidRPr="00000000">
              <w:rPr>
                <w:rtl w:val="0"/>
              </w:rPr>
              <w:t xml:space="preserve">Standard prac wykończeniowych w części wspólnej budynku i terenie wokół niego, stanowiącym część wspólną nieruchomości</w:t>
            </w:r>
          </w:p>
        </w:tc>
        <w:tc>
          <w:tcPr/>
          <w:p w:rsidR="00000000" w:rsidDel="00000000" w:rsidP="00000000" w:rsidRDefault="00000000" w:rsidRPr="00000000" w14:paraId="00000222">
            <w:pPr>
              <w:spacing w:after="144" w:before="144" w:lineRule="auto"/>
              <w:rPr>
                <w:b w:val="1"/>
              </w:rPr>
            </w:pPr>
            <w:r w:rsidDel="00000000" w:rsidR="00000000" w:rsidRPr="00000000">
              <w:rPr>
                <w:b w:val="1"/>
                <w:rtl w:val="0"/>
              </w:rPr>
              <w:t xml:space="preserve">Zgodnie ze standardem technicznym będącym załącznikiem nr 4 do prospektu informacyjnego</w:t>
            </w:r>
          </w:p>
        </w:tc>
      </w:tr>
      <w:tr>
        <w:trPr>
          <w:cantSplit w:val="0"/>
          <w:tblHeader w:val="0"/>
        </w:trPr>
        <w:tc>
          <w:tcPr>
            <w:tcBorders>
              <w:top w:color="000000" w:space="0" w:sz="0" w:val="nil"/>
              <w:bottom w:color="000000" w:space="0" w:sz="0" w:val="nil"/>
            </w:tcBorders>
            <w:shd w:fill="f2f2f2" w:val="clear"/>
          </w:tcPr>
          <w:p w:rsidR="00000000" w:rsidDel="00000000" w:rsidP="00000000" w:rsidRDefault="00000000" w:rsidRPr="00000000" w14:paraId="00000223">
            <w:pPr>
              <w:spacing w:after="144" w:before="144" w:lineRule="auto"/>
              <w:rPr>
                <w:b w:val="1"/>
              </w:rPr>
            </w:pPr>
            <w:r w:rsidDel="00000000" w:rsidR="00000000" w:rsidRPr="00000000">
              <w:rPr>
                <w:rtl w:val="0"/>
              </w:rPr>
            </w:r>
          </w:p>
        </w:tc>
        <w:tc>
          <w:tcPr/>
          <w:p w:rsidR="00000000" w:rsidDel="00000000" w:rsidP="00000000" w:rsidRDefault="00000000" w:rsidRPr="00000000" w14:paraId="00000224">
            <w:pPr>
              <w:spacing w:after="144" w:before="144" w:lineRule="auto"/>
              <w:rPr/>
            </w:pPr>
            <w:r w:rsidDel="00000000" w:rsidR="00000000" w:rsidRPr="00000000">
              <w:rPr>
                <w:rtl w:val="0"/>
              </w:rPr>
              <w:t xml:space="preserve">Liczba lokali w budynku</w:t>
            </w:r>
          </w:p>
        </w:tc>
        <w:tc>
          <w:tcPr/>
          <w:p w:rsidR="00000000" w:rsidDel="00000000" w:rsidP="00000000" w:rsidRDefault="00000000" w:rsidRPr="00000000" w14:paraId="00000225">
            <w:pPr>
              <w:spacing w:after="144" w:before="144" w:lineRule="auto"/>
              <w:rPr>
                <w:b w:val="1"/>
              </w:rPr>
            </w:pPr>
            <w:r w:rsidDel="00000000" w:rsidR="00000000" w:rsidRPr="00000000">
              <w:rPr>
                <w:b w:val="1"/>
                <w:rtl w:val="0"/>
              </w:rPr>
              <w:t xml:space="preserve">2</w:t>
            </w:r>
          </w:p>
        </w:tc>
      </w:tr>
      <w:tr>
        <w:trPr>
          <w:cantSplit w:val="0"/>
          <w:tblHeader w:val="0"/>
        </w:trPr>
        <w:tc>
          <w:tcPr>
            <w:tcBorders>
              <w:top w:color="000000" w:space="0" w:sz="0" w:val="nil"/>
              <w:bottom w:color="000000" w:space="0" w:sz="0" w:val="nil"/>
            </w:tcBorders>
            <w:shd w:fill="f2f2f2" w:val="clear"/>
          </w:tcPr>
          <w:p w:rsidR="00000000" w:rsidDel="00000000" w:rsidP="00000000" w:rsidRDefault="00000000" w:rsidRPr="00000000" w14:paraId="00000226">
            <w:pPr>
              <w:spacing w:after="144" w:before="144" w:lineRule="auto"/>
              <w:rPr>
                <w:b w:val="1"/>
              </w:rPr>
            </w:pPr>
            <w:r w:rsidDel="00000000" w:rsidR="00000000" w:rsidRPr="00000000">
              <w:rPr>
                <w:rtl w:val="0"/>
              </w:rPr>
            </w:r>
          </w:p>
        </w:tc>
        <w:tc>
          <w:tcPr/>
          <w:p w:rsidR="00000000" w:rsidDel="00000000" w:rsidP="00000000" w:rsidRDefault="00000000" w:rsidRPr="00000000" w14:paraId="00000227">
            <w:pPr>
              <w:spacing w:after="144" w:before="144" w:lineRule="auto"/>
              <w:rPr/>
            </w:pPr>
            <w:r w:rsidDel="00000000" w:rsidR="00000000" w:rsidRPr="00000000">
              <w:rPr>
                <w:rtl w:val="0"/>
              </w:rPr>
              <w:t xml:space="preserve">Liczba miejsc garażowych i postojowych</w:t>
            </w:r>
          </w:p>
        </w:tc>
        <w:tc>
          <w:tcPr/>
          <w:p w:rsidR="00000000" w:rsidDel="00000000" w:rsidP="00000000" w:rsidRDefault="00000000" w:rsidRPr="00000000" w14:paraId="00000228">
            <w:pPr>
              <w:spacing w:after="144" w:before="144" w:lineRule="auto"/>
              <w:rPr>
                <w:b w:val="1"/>
              </w:rPr>
            </w:pPr>
            <w:r w:rsidDel="00000000" w:rsidR="00000000" w:rsidRPr="00000000">
              <w:rPr>
                <w:b w:val="1"/>
                <w:rtl w:val="0"/>
              </w:rPr>
              <w:t xml:space="preserve">po dwa miejsca na lokal</w:t>
            </w:r>
          </w:p>
        </w:tc>
      </w:tr>
      <w:tr>
        <w:trPr>
          <w:cantSplit w:val="0"/>
          <w:tblHeader w:val="0"/>
        </w:trPr>
        <w:tc>
          <w:tcPr>
            <w:tcBorders>
              <w:top w:color="000000" w:space="0" w:sz="0" w:val="nil"/>
              <w:bottom w:color="000000" w:space="0" w:sz="0" w:val="nil"/>
            </w:tcBorders>
            <w:shd w:fill="f2f2f2" w:val="clear"/>
          </w:tcPr>
          <w:p w:rsidR="00000000" w:rsidDel="00000000" w:rsidP="00000000" w:rsidRDefault="00000000" w:rsidRPr="00000000" w14:paraId="00000229">
            <w:pPr>
              <w:spacing w:after="144" w:before="144" w:lineRule="auto"/>
              <w:rPr>
                <w:b w:val="1"/>
              </w:rPr>
            </w:pPr>
            <w:r w:rsidDel="00000000" w:rsidR="00000000" w:rsidRPr="00000000">
              <w:rPr>
                <w:rtl w:val="0"/>
              </w:rPr>
            </w:r>
          </w:p>
        </w:tc>
        <w:tc>
          <w:tcPr/>
          <w:p w:rsidR="00000000" w:rsidDel="00000000" w:rsidP="00000000" w:rsidRDefault="00000000" w:rsidRPr="00000000" w14:paraId="0000022A">
            <w:pPr>
              <w:spacing w:after="144" w:before="144" w:lineRule="auto"/>
              <w:rPr/>
            </w:pPr>
            <w:r w:rsidDel="00000000" w:rsidR="00000000" w:rsidRPr="00000000">
              <w:rPr>
                <w:rtl w:val="0"/>
              </w:rPr>
              <w:t xml:space="preserve">Dostępne media w budynku</w:t>
            </w:r>
          </w:p>
        </w:tc>
        <w:tc>
          <w:tcPr/>
          <w:p w:rsidR="00000000" w:rsidDel="00000000" w:rsidP="00000000" w:rsidRDefault="00000000" w:rsidRPr="00000000" w14:paraId="0000022B">
            <w:pPr>
              <w:spacing w:after="144" w:before="144" w:lineRule="auto"/>
              <w:rPr>
                <w:b w:val="1"/>
              </w:rPr>
            </w:pPr>
            <w:r w:rsidDel="00000000" w:rsidR="00000000" w:rsidRPr="00000000">
              <w:rPr>
                <w:b w:val="1"/>
                <w:rtl w:val="0"/>
              </w:rPr>
              <w:t xml:space="preserve">Zgodnie ze standardem technicznym będącym załącznikiem nr 4 do prospektu informacyjnego</w:t>
            </w:r>
          </w:p>
        </w:tc>
      </w:tr>
      <w:tr>
        <w:trPr>
          <w:cantSplit w:val="0"/>
          <w:tblHeader w:val="0"/>
        </w:trPr>
        <w:tc>
          <w:tcPr>
            <w:tcBorders>
              <w:top w:color="000000" w:space="0" w:sz="0" w:val="nil"/>
              <w:bottom w:color="000000" w:space="0" w:sz="4" w:val="single"/>
            </w:tcBorders>
            <w:shd w:fill="f2f2f2" w:val="clear"/>
          </w:tcPr>
          <w:p w:rsidR="00000000" w:rsidDel="00000000" w:rsidP="00000000" w:rsidRDefault="00000000" w:rsidRPr="00000000" w14:paraId="0000022C">
            <w:pPr>
              <w:spacing w:after="144" w:before="144" w:lineRule="auto"/>
              <w:rPr>
                <w:b w:val="1"/>
              </w:rPr>
            </w:pPr>
            <w:r w:rsidDel="00000000" w:rsidR="00000000" w:rsidRPr="00000000">
              <w:rPr>
                <w:rtl w:val="0"/>
              </w:rPr>
            </w:r>
          </w:p>
        </w:tc>
        <w:tc>
          <w:tcPr/>
          <w:p w:rsidR="00000000" w:rsidDel="00000000" w:rsidP="00000000" w:rsidRDefault="00000000" w:rsidRPr="00000000" w14:paraId="0000022D">
            <w:pPr>
              <w:spacing w:after="144" w:before="144" w:lineRule="auto"/>
              <w:rPr/>
            </w:pPr>
            <w:r w:rsidDel="00000000" w:rsidR="00000000" w:rsidRPr="00000000">
              <w:rPr>
                <w:rtl w:val="0"/>
              </w:rPr>
              <w:t xml:space="preserve">Dostęp do drogi publicznej</w:t>
            </w:r>
          </w:p>
        </w:tc>
        <w:tc>
          <w:tcPr/>
          <w:p w:rsidR="00000000" w:rsidDel="00000000" w:rsidP="00000000" w:rsidRDefault="00000000" w:rsidRPr="00000000" w14:paraId="0000022E">
            <w:pPr>
              <w:spacing w:after="144" w:before="144" w:lineRule="auto"/>
              <w:rPr>
                <w:b w:val="1"/>
              </w:rPr>
            </w:pPr>
            <w:r w:rsidDel="00000000" w:rsidR="00000000" w:rsidRPr="00000000">
              <w:rPr>
                <w:b w:val="1"/>
                <w:rtl w:val="0"/>
              </w:rPr>
              <w:t xml:space="preserve">Odbywać się będzie poprzez drogę wewnętrzną na działkach 118/2 oraz 119/2 a z drogi wewnętrznej na drogę publiczną </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2F">
            <w:pPr>
              <w:spacing w:after="144" w:before="144" w:lineRule="auto"/>
              <w:jc w:val="both"/>
              <w:rPr/>
            </w:pPr>
            <w:r w:rsidDel="00000000" w:rsidR="00000000" w:rsidRPr="00000000">
              <w:rPr>
                <w:rtl w:val="0"/>
              </w:rPr>
              <w:t xml:space="preserve">Określenie usytuowania lokalu mieszkalnego w budynku, jeżeli przedsięwzięcie deweloperskie albo zadanie inwestycyjne dotyczy lokali mieszkalnych</w:t>
            </w:r>
          </w:p>
        </w:tc>
        <w:tc>
          <w:tcPr>
            <w:gridSpan w:val="2"/>
          </w:tcPr>
          <w:p w:rsidR="00000000" w:rsidDel="00000000" w:rsidP="00000000" w:rsidRDefault="00000000" w:rsidRPr="00000000" w14:paraId="00000230">
            <w:pPr>
              <w:spacing w:after="144" w:before="144" w:lineRule="auto"/>
              <w:rPr>
                <w:b w:val="1"/>
              </w:rPr>
            </w:pPr>
            <w:r w:rsidDel="00000000" w:rsidR="00000000" w:rsidRPr="00000000">
              <w:rPr>
                <w:b w:val="1"/>
                <w:rtl w:val="0"/>
              </w:rPr>
              <w:t xml:space="preserve">Usytuowanie lokalu mieszkalnego określone zostało w rzucie kondygnacji który stanowi załącznik nr 1 do niniejszego prospektu</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2">
            <w:pPr>
              <w:spacing w:after="144" w:before="144" w:lineRule="auto"/>
              <w:jc w:val="both"/>
              <w:rPr/>
            </w:pPr>
            <w:r w:rsidDel="00000000" w:rsidR="00000000" w:rsidRPr="00000000">
              <w:rPr>
                <w:rtl w:val="0"/>
              </w:rPr>
              <w:t xml:space="preserve">Określenie powierzchni użytkowej i układu pomieszczeń oraz zakresu i standardu prac wykończeniowych, do których wykonania zobowiązuje się deweloper</w:t>
            </w:r>
          </w:p>
        </w:tc>
        <w:tc>
          <w:tcPr>
            <w:gridSpan w:val="2"/>
          </w:tcPr>
          <w:p w:rsidR="00000000" w:rsidDel="00000000" w:rsidP="00000000" w:rsidRDefault="00000000" w:rsidRPr="00000000" w14:paraId="00000233">
            <w:pPr>
              <w:spacing w:after="144" w:before="144" w:lineRule="auto"/>
              <w:rPr>
                <w:b w:val="1"/>
              </w:rPr>
            </w:pPr>
            <w:r w:rsidDel="00000000" w:rsidR="00000000" w:rsidRPr="00000000">
              <w:rPr>
                <w:b w:val="1"/>
                <w:rtl w:val="0"/>
              </w:rPr>
              <w:t xml:space="preserve">Powierzchnia użytkowa oraz układ pomieszczeń zostały określone na rzucie stanowiącym załącznik nr 1 do niniejszego prospektu</w:t>
            </w:r>
          </w:p>
          <w:p w:rsidR="00000000" w:rsidDel="00000000" w:rsidP="00000000" w:rsidRDefault="00000000" w:rsidRPr="00000000" w14:paraId="00000234">
            <w:pPr>
              <w:spacing w:after="144" w:before="144" w:lineRule="auto"/>
              <w:rPr>
                <w:b w:val="1"/>
              </w:rPr>
            </w:pPr>
            <w:r w:rsidDel="00000000" w:rsidR="00000000" w:rsidRPr="00000000">
              <w:rPr>
                <w:rtl w:val="0"/>
              </w:rPr>
            </w:r>
          </w:p>
          <w:p w:rsidR="00000000" w:rsidDel="00000000" w:rsidP="00000000" w:rsidRDefault="00000000" w:rsidRPr="00000000" w14:paraId="00000235">
            <w:pPr>
              <w:spacing w:after="144" w:before="144" w:lineRule="auto"/>
              <w:rPr>
                <w:b w:val="1"/>
              </w:rPr>
            </w:pPr>
            <w:r w:rsidDel="00000000" w:rsidR="00000000" w:rsidRPr="00000000">
              <w:rPr>
                <w:b w:val="1"/>
                <w:rtl w:val="0"/>
              </w:rPr>
              <w:t xml:space="preserve">Zakres i standard prac wykończeniowych, do których zobowiązuje się deweloper zostały określone w opisie technicznym budynków zwanym dalej “Standardem Technicznym” stanowiącym załącznik nr 4 do niniejszego prospektu</w:t>
            </w:r>
          </w:p>
        </w:tc>
      </w:tr>
      <w:tr>
        <w:trPr>
          <w:cantSplit w:val="0"/>
          <w:trHeight w:val="1035" w:hRule="atLeast"/>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7">
            <w:pPr>
              <w:widowControl w:val="0"/>
              <w:spacing w:after="144" w:before="144" w:lineRule="auto"/>
              <w:rPr/>
            </w:pPr>
            <w:r w:rsidDel="00000000" w:rsidR="00000000" w:rsidRPr="00000000">
              <w:rPr>
                <w:rtl w:val="0"/>
              </w:rPr>
              <w:t xml:space="preserve">Data wydania zaświadczenia o samodzielności lokalu mieszkalnego</w:t>
            </w:r>
          </w:p>
        </w:tc>
        <w:tc>
          <w:tcPr>
            <w:gridSpan w:val="2"/>
          </w:tcPr>
          <w:p w:rsidR="00000000" w:rsidDel="00000000" w:rsidP="00000000" w:rsidRDefault="00000000" w:rsidRPr="00000000" w14:paraId="00000238">
            <w:pPr>
              <w:spacing w:after="144" w:before="144" w:lineRule="auto"/>
              <w:rPr>
                <w:b w:val="1"/>
              </w:rPr>
            </w:pPr>
            <w:r w:rsidDel="00000000" w:rsidR="00000000" w:rsidRPr="00000000">
              <w:rPr>
                <w:b w:val="1"/>
                <w:rtl w:val="0"/>
              </w:rPr>
              <w:t xml:space="preserve">NIE DOTYCZY</w:t>
            </w:r>
          </w:p>
        </w:tc>
      </w:tr>
      <w:tr>
        <w:trPr>
          <w:cantSplit w:val="0"/>
          <w:trHeight w:val="1050" w:hRule="atLeast"/>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A">
            <w:pPr>
              <w:widowControl w:val="0"/>
              <w:spacing w:after="144" w:before="144" w:lineRule="auto"/>
              <w:rPr/>
            </w:pPr>
            <w:r w:rsidDel="00000000" w:rsidR="00000000" w:rsidRPr="00000000">
              <w:rPr>
                <w:rtl w:val="0"/>
              </w:rPr>
              <w:t xml:space="preserve">Data ustanowienia odrębnej własności lokalu mieszkalnego</w:t>
            </w:r>
          </w:p>
        </w:tc>
        <w:tc>
          <w:tcPr>
            <w:gridSpan w:val="2"/>
          </w:tcPr>
          <w:p w:rsidR="00000000" w:rsidDel="00000000" w:rsidP="00000000" w:rsidRDefault="00000000" w:rsidRPr="00000000" w14:paraId="0000023B">
            <w:pPr>
              <w:spacing w:after="144" w:before="144" w:lineRule="auto"/>
              <w:rPr>
                <w:b w:val="1"/>
              </w:rPr>
            </w:pPr>
            <w:r w:rsidDel="00000000" w:rsidR="00000000" w:rsidRPr="00000000">
              <w:rPr>
                <w:b w:val="1"/>
                <w:rtl w:val="0"/>
              </w:rPr>
              <w:t xml:space="preserve">NIE DOTYCZY</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D">
            <w:pPr>
              <w:spacing w:after="144" w:before="144" w:lineRule="auto"/>
              <w:jc w:val="both"/>
              <w:rPr/>
            </w:pPr>
            <w:r w:rsidDel="00000000" w:rsidR="00000000" w:rsidRPr="00000000">
              <w:rPr>
                <w:rtl w:val="0"/>
              </w:rPr>
              <w:t xml:space="preserve">Informacje o lokalu użytkowym nabywanym równocześnie z lokalem mieszkalnym albo domem jednorodzinnym</w:t>
            </w:r>
          </w:p>
        </w:tc>
        <w:tc>
          <w:tcPr>
            <w:gridSpan w:val="2"/>
          </w:tcPr>
          <w:p w:rsidR="00000000" w:rsidDel="00000000" w:rsidP="00000000" w:rsidRDefault="00000000" w:rsidRPr="00000000" w14:paraId="0000023E">
            <w:pPr>
              <w:spacing w:after="144" w:before="144" w:lineRule="auto"/>
              <w:rPr>
                <w:b w:val="1"/>
              </w:rPr>
            </w:pPr>
            <w:r w:rsidDel="00000000" w:rsidR="00000000" w:rsidRPr="00000000">
              <w:rPr>
                <w:b w:val="1"/>
                <w:rtl w:val="0"/>
              </w:rPr>
              <w:t xml:space="preserve">NIE DOTYCZY</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40">
            <w:pPr>
              <w:spacing w:after="144" w:before="144" w:lineRule="auto"/>
              <w:jc w:val="both"/>
              <w:rPr/>
            </w:pPr>
            <w:r w:rsidDel="00000000" w:rsidR="00000000" w:rsidRPr="00000000">
              <w:rPr>
                <w:rtl w:val="0"/>
              </w:rPr>
              <w:t xml:space="preserve">Cenę lokalu użytkowego albo ułamkowej części własności lokalu użytkowego </w:t>
            </w:r>
          </w:p>
        </w:tc>
        <w:tc>
          <w:tcPr>
            <w:gridSpan w:val="2"/>
          </w:tcPr>
          <w:p w:rsidR="00000000" w:rsidDel="00000000" w:rsidP="00000000" w:rsidRDefault="00000000" w:rsidRPr="00000000" w14:paraId="00000241">
            <w:pPr>
              <w:spacing w:after="144" w:before="144" w:lineRule="auto"/>
              <w:rPr>
                <w:b w:val="1"/>
              </w:rPr>
            </w:pPr>
            <w:r w:rsidDel="00000000" w:rsidR="00000000" w:rsidRPr="00000000">
              <w:rPr>
                <w:b w:val="1"/>
                <w:rtl w:val="0"/>
              </w:rPr>
              <w:t xml:space="preserve">NIE DOTYCZY</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43">
            <w:pPr>
              <w:spacing w:after="144" w:before="144" w:lineRule="auto"/>
              <w:jc w:val="both"/>
              <w:rPr/>
            </w:pPr>
            <w:r w:rsidDel="00000000" w:rsidR="00000000" w:rsidRPr="00000000">
              <w:rPr>
                <w:rtl w:val="0"/>
              </w:rPr>
              <w:t xml:space="preserve">Termin, do którego nastąpi przeniesienie prawa własności lokalu użytkowego albo ułamkowej części własności lokalu użytkowego</w:t>
            </w:r>
          </w:p>
        </w:tc>
        <w:tc>
          <w:tcPr>
            <w:gridSpan w:val="2"/>
          </w:tcPr>
          <w:p w:rsidR="00000000" w:rsidDel="00000000" w:rsidP="00000000" w:rsidRDefault="00000000" w:rsidRPr="00000000" w14:paraId="00000244">
            <w:pPr>
              <w:spacing w:after="144" w:before="144" w:lineRule="auto"/>
              <w:rPr>
                <w:b w:val="1"/>
              </w:rPr>
            </w:pPr>
            <w:r w:rsidDel="00000000" w:rsidR="00000000" w:rsidRPr="00000000">
              <w:rPr>
                <w:b w:val="1"/>
                <w:rtl w:val="0"/>
              </w:rPr>
              <w:t xml:space="preserve">NIE DOTYCZY</w:t>
            </w:r>
          </w:p>
        </w:tc>
      </w:tr>
    </w:tbl>
    <w:p w:rsidR="00000000" w:rsidDel="00000000" w:rsidP="00000000" w:rsidRDefault="00000000" w:rsidRPr="00000000" w14:paraId="00000246">
      <w:pPr>
        <w:spacing w:after="144" w:before="144"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7">
      <w:pPr>
        <w:spacing w:after="144" w:before="144"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Podpis osoby upoważnionej do reprezentacji dewelopera</w:t>
      </w:r>
    </w:p>
    <w:p w:rsidR="00000000" w:rsidDel="00000000" w:rsidP="00000000" w:rsidRDefault="00000000" w:rsidRPr="00000000" w14:paraId="00000248">
      <w:pPr>
        <w:spacing w:after="144" w:before="144"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9">
      <w:pPr>
        <w:spacing w:after="144" w:before="144"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24A">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B">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C">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-812799</wp:posOffset>
                </wp:positionH>
                <wp:positionV relativeFrom="paragraph">
                  <wp:posOffset>0</wp:posOffset>
                </wp:positionV>
                <wp:extent cx="0" cy="28575"/>
                <wp:effectExtent b="0" l="0" r="0" t="0"/>
                <wp:wrapNone/>
                <wp:docPr id="8" name=""/>
                <a:graphic>
                  <a:graphicData uri="http://schemas.microsoft.com/office/word/2010/wordprocessingShape">
                    <wps:wsp>
                      <wps:cNvCnPr/>
                      <wps:spPr>
                        <a:xfrm>
                          <a:off x="1574100" y="3780000"/>
                          <a:ext cx="7543800" cy="0"/>
                        </a:xfrm>
                        <a:prstGeom prst="straightConnector1">
                          <a:avLst/>
                        </a:prstGeom>
                        <a:no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-812799</wp:posOffset>
                </wp:positionH>
                <wp:positionV relativeFrom="paragraph">
                  <wp:posOffset>0</wp:posOffset>
                </wp:positionV>
                <wp:extent cx="0" cy="28575"/>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24D">
      <w:pPr>
        <w:spacing w:after="144" w:before="144"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Załączniki:</w:t>
      </w:r>
    </w:p>
    <w:p w:rsidR="00000000" w:rsidDel="00000000" w:rsidP="00000000" w:rsidRDefault="00000000" w:rsidRPr="00000000" w14:paraId="0000024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Rzut kondygnacji z zaznaczeniem lokalu mieszkalnego.</w:t>
      </w:r>
    </w:p>
    <w:p w:rsidR="00000000" w:rsidDel="00000000" w:rsidP="00000000" w:rsidRDefault="00000000" w:rsidRPr="00000000" w14:paraId="0000024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Wzór umowy deweloperskiej lub umowy, o której mowa w art. 2 ust. 1 pkt 2, 3 lub 5 ustawy z dnia … o ochronie praw nabywcy lokalu mieszkalnego lub domu jednorodzinnego oraz o Deweloperskim Funduszu Gwarancyjnym.</w:t>
      </w:r>
    </w:p>
    <w:p w:rsidR="00000000" w:rsidDel="00000000" w:rsidP="00000000" w:rsidRDefault="00000000" w:rsidRPr="00000000" w14:paraId="0000025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rsidR="00000000" w:rsidDel="00000000" w:rsidP="00000000" w:rsidRDefault="00000000" w:rsidRPr="00000000" w14:paraId="0000025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Standard techniczny</w:t>
      </w:r>
    </w:p>
    <w:p w:rsidR="00000000" w:rsidDel="00000000" w:rsidP="00000000" w:rsidRDefault="00000000" w:rsidRPr="00000000" w14:paraId="0000025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Plan podziału działek</w:t>
      </w:r>
    </w:p>
    <w:p w:rsidR="00000000" w:rsidDel="00000000" w:rsidP="00000000" w:rsidRDefault="00000000" w:rsidRPr="00000000" w14:paraId="00000253">
      <w:pPr>
        <w:spacing w:after="144" w:before="144" w:line="240" w:lineRule="auto"/>
        <w:jc w:val="both"/>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-812799</wp:posOffset>
                </wp:positionH>
                <wp:positionV relativeFrom="paragraph">
                  <wp:posOffset>63500</wp:posOffset>
                </wp:positionV>
                <wp:extent cx="0" cy="28575"/>
                <wp:effectExtent b="0" l="0" r="0" t="0"/>
                <wp:wrapNone/>
                <wp:docPr id="7" name=""/>
                <a:graphic>
                  <a:graphicData uri="http://schemas.microsoft.com/office/word/2010/wordprocessingShape">
                    <wps:wsp>
                      <wps:cNvCnPr/>
                      <wps:spPr>
                        <a:xfrm>
                          <a:off x="1574100" y="3780000"/>
                          <a:ext cx="7543800" cy="0"/>
                        </a:xfrm>
                        <a:prstGeom prst="straightConnector1">
                          <a:avLst/>
                        </a:prstGeom>
                        <a:no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-812799</wp:posOffset>
                </wp:positionH>
                <wp:positionV relativeFrom="paragraph">
                  <wp:posOffset>63500</wp:posOffset>
                </wp:positionV>
                <wp:extent cx="0" cy="28575"/>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254">
      <w:pPr>
        <w:rPr/>
      </w:pPr>
      <w:r w:rsidDel="00000000" w:rsidR="00000000" w:rsidRPr="00000000">
        <w:rPr>
          <w:rtl w:val="0"/>
        </w:rPr>
      </w:r>
    </w:p>
    <w:sectPr>
      <w:footerReference r:id="rId9" w:type="default"/>
      <w:footerReference r:id="rId10" w:type="first"/>
      <w:pgSz w:h="16838" w:w="11906" w:orient="portrait"/>
      <w:pgMar w:bottom="1417" w:top="1417" w:left="1417" w:right="141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1)</w:t>
      </w:r>
      <w:r w:rsidDel="00000000" w:rsidR="00000000" w:rsidRPr="00000000">
        <w:rPr>
          <w:rFonts w:ascii="Times New Roman" w:cs="Times New Roman" w:eastAsia="Times New Roman" w:hAnsi="Times New Roman"/>
          <w:color w:val="000000"/>
          <w:sz w:val="18"/>
          <w:szCs w:val="18"/>
          <w:rtl w:val="0"/>
        </w:rPr>
        <w:tab/>
        <w:t xml:space="preserve">Jeżeli działka nie posiada adresu, należy opisowo określić jej położenie.</w:t>
      </w:r>
    </w:p>
  </w:footnote>
  <w:footnote w:id="1">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2)</w:t>
      </w:r>
      <w:r w:rsidDel="00000000" w:rsidR="00000000" w:rsidRPr="00000000">
        <w:rPr>
          <w:rFonts w:ascii="Times New Roman" w:cs="Times New Roman" w:eastAsia="Times New Roman" w:hAnsi="Times New Roman"/>
          <w:color w:val="000000"/>
          <w:sz w:val="18"/>
          <w:szCs w:val="18"/>
          <w:rtl w:val="0"/>
        </w:rPr>
        <w:tab/>
        <w:t xml:space="preserve">W szczególności imię i nazwisko albo firma właściciela lub użytkownika wieczystego oraz istniejące obciążenia na nieruchomości.</w:t>
      </w:r>
    </w:p>
  </w:footnote>
  <w:footnote w:id="2">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3)</w:t>
      </w:r>
      <w:r w:rsidDel="00000000" w:rsidR="00000000" w:rsidRPr="00000000">
        <w:rPr>
          <w:rFonts w:ascii="Times New Roman" w:cs="Times New Roman" w:eastAsia="Times New Roman" w:hAnsi="Times New Roman"/>
          <w:color w:val="000000"/>
          <w:sz w:val="18"/>
          <w:szCs w:val="18"/>
          <w:rtl w:val="0"/>
        </w:rPr>
        <w:tab/>
        <w:t xml:space="preserve">W szczególności obiekty generujące uciążliwości zapachowe, hałasowe, świetlne.</w:t>
      </w:r>
    </w:p>
  </w:footnote>
  <w:footnote w:id="3">
    <w:p w:rsidR="00000000" w:rsidDel="00000000" w:rsidP="00000000" w:rsidRDefault="00000000" w:rsidRPr="00000000" w14:paraId="00000258">
      <w:pPr>
        <w:spacing w:after="0" w:line="240" w:lineRule="auto"/>
        <w:ind w:left="284" w:hanging="284"/>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ab/>
        <w:t xml:space="preserve">Akty prawne (rozporządzenia, zarządzenia, uchwały) w sprawie:</w:t>
      </w:r>
    </w:p>
    <w:p w:rsidR="00000000" w:rsidDel="00000000" w:rsidP="00000000" w:rsidRDefault="00000000" w:rsidRPr="00000000" w14:paraId="00000259">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dokonania rezerwacji obszaru inwestycji (CPK),</w:t>
      </w:r>
    </w:p>
    <w:p w:rsidR="00000000" w:rsidDel="00000000" w:rsidP="00000000" w:rsidRDefault="00000000" w:rsidRPr="00000000" w14:paraId="0000025A">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lokalizacji inwestycji mieszkaniowej lub inwestycji towarzyszącej,</w:t>
      </w:r>
    </w:p>
    <w:p w:rsidR="00000000" w:rsidDel="00000000" w:rsidP="00000000" w:rsidRDefault="00000000" w:rsidRPr="00000000" w14:paraId="0000025B">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rsidR="00000000" w:rsidDel="00000000" w:rsidP="00000000" w:rsidRDefault="00000000" w:rsidRPr="00000000" w14:paraId="0000025C">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ustanowienia strefy ochronnej terenu ochrony bezpośredniej i terenu ochrony pośredniej ujęcia wody,</w:t>
      </w:r>
    </w:p>
    <w:p w:rsidR="00000000" w:rsidDel="00000000" w:rsidP="00000000" w:rsidRDefault="00000000" w:rsidRPr="00000000" w14:paraId="0000025D">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wyznaczenia obszarów cichych w aglomeracji lub obszarów cichych poza aglomeracją,</w:t>
      </w:r>
    </w:p>
    <w:p w:rsidR="00000000" w:rsidDel="00000000" w:rsidP="00000000" w:rsidRDefault="00000000" w:rsidRPr="00000000" w14:paraId="0000025E">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utworzenia obszaru ograniczonego użytkowania,</w:t>
      </w:r>
    </w:p>
    <w:p w:rsidR="00000000" w:rsidDel="00000000" w:rsidP="00000000" w:rsidRDefault="00000000" w:rsidRPr="00000000" w14:paraId="0000025F">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uznania zabytku za pomnik historii,</w:t>
      </w:r>
    </w:p>
    <w:p w:rsidR="00000000" w:rsidDel="00000000" w:rsidP="00000000" w:rsidRDefault="00000000" w:rsidRPr="00000000" w14:paraId="00000260">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określenia granic obszaru Pomnika Zagłady i jego strefy ochronnej, utworzenia parku kulturowego,</w:t>
      </w:r>
    </w:p>
    <w:p w:rsidR="00000000" w:rsidDel="00000000" w:rsidP="00000000" w:rsidRDefault="00000000" w:rsidRPr="00000000" w14:paraId="00000261">
      <w:pPr>
        <w:numPr>
          <w:ilvl w:val="0"/>
          <w:numId w:val="11"/>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ustalenia zasad i warunków sytuowania obiektów małej architektury, tablic reklamowych i urządzeń reklamowych oraz ogrodzeń, ich gabarytów, standardów jakościowych oraz rodzajów materiałów budowlanych.</w:t>
      </w:r>
    </w:p>
  </w:footnote>
  <w:footnote w:id="4">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W przypadku braku miejscowego planu zagospodarowania przestrzennego umieszcza się informację „Brak planu”. </w:t>
      </w:r>
    </w:p>
  </w:footnote>
  <w:footnote w:id="5">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5)</w:t>
      </w:r>
      <w:r w:rsidDel="00000000" w:rsidR="00000000" w:rsidRPr="00000000">
        <w:rPr>
          <w:rFonts w:ascii="Times New Roman" w:cs="Times New Roman" w:eastAsia="Times New Roman" w:hAnsi="Times New Roman"/>
          <w:color w:val="000000"/>
          <w:sz w:val="18"/>
          <w:szCs w:val="18"/>
          <w:rtl w:val="0"/>
        </w:rPr>
        <w:tab/>
        <w:t xml:space="preserve">Wskazane inwestycje dotyczą w szczególności budowy lub rozbudowy dróg, budowy linii szynowych oraz przewidzianych korytarzy powietrznych, inwestycji komunalnych, takich jak: oczyszczalnie ścieków, spalarnie śmieci, wysypiska, cmentarze.</w:t>
      </w:r>
    </w:p>
  </w:footnote>
  <w:footnote w:id="6">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w:t>
      </w:r>
      <w:r w:rsidDel="00000000" w:rsidR="00000000" w:rsidRPr="00000000">
        <w:rPr>
          <w:rFonts w:ascii="Times New Roman" w:cs="Times New Roman" w:eastAsia="Times New Roman" w:hAnsi="Times New Roman"/>
          <w:color w:val="000000"/>
          <w:sz w:val="18"/>
          <w:szCs w:val="18"/>
          <w:rtl w:val="0"/>
        </w:rPr>
        <w:t xml:space="preserve"> Niepotrzebne skreślić. </w:t>
      </w:r>
    </w:p>
  </w:footnote>
  <w:footnote w:id="7">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6)</w:t>
      </w:r>
      <w:r w:rsidDel="00000000" w:rsidR="00000000" w:rsidRPr="00000000">
        <w:rPr>
          <w:rFonts w:ascii="Times New Roman" w:cs="Times New Roman" w:eastAsia="Times New Roman" w:hAnsi="Times New Roman"/>
          <w:color w:val="000000"/>
          <w:sz w:val="18"/>
          <w:szCs w:val="18"/>
          <w:rtl w:val="0"/>
        </w:rPr>
        <w:tab/>
        <w:t xml:space="preserve">Zgodnie z art. 48 ust. 6 ustawy z dnia … o ochronie praw nabywcy lokalu mieszkalnego lub domu jednorodzinnego oraz o Deweloperskim Funduszu Gwarancyjnym (Dz. U. ….)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 o ochronie praw nabywcy lokalu mieszkalnego lub domu jednorodzinnego oraz o Deweloperskim Funduszu Gwarancyjnym.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65" w:hanging="4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lef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paragraph" w:styleId="Nagwek">
    <w:name w:val="header"/>
    <w:basedOn w:val="Normalny"/>
    <w:link w:val="NagwekZnak"/>
    <w:uiPriority w:val="99"/>
    <w:unhideWhenUsed w:val="1"/>
    <w:rsid w:val="00EA1C22"/>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val="1"/>
    <w:unhideWhenUsed w:val="1"/>
    <w:rsid w:val="00EA1C22"/>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EA1C22"/>
    <w:rPr>
      <w:sz w:val="20"/>
      <w:szCs w:val="20"/>
    </w:rPr>
  </w:style>
  <w:style w:type="character" w:styleId="Odwoanieprzypisudolnego">
    <w:name w:val="footnote reference"/>
    <w:uiPriority w:val="99"/>
    <w:semiHidden w:val="1"/>
    <w:rsid w:val="00EA1C22"/>
    <w:rPr>
      <w:rFonts w:cs="Times New Roman"/>
      <w:vertAlign w:val="superscript"/>
    </w:rPr>
  </w:style>
  <w:style w:type="paragraph" w:styleId="Akapitzlist">
    <w:name w:val="List Paragraph"/>
    <w:basedOn w:val="Normalny"/>
    <w:uiPriority w:val="34"/>
    <w:qFormat w:val="1"/>
    <w:rsid w:val="00EA1C22"/>
    <w:pPr>
      <w:widowControl w:val="0"/>
      <w:autoSpaceDE w:val="0"/>
      <w:autoSpaceDN w:val="0"/>
      <w:adjustRightInd w:val="0"/>
      <w:spacing w:after="0" w:line="360" w:lineRule="auto"/>
      <w:ind w:left="720"/>
      <w:contextualSpacing w:val="1"/>
    </w:pPr>
    <w:rPr>
      <w:rFonts w:ascii="Times New Roman" w:cs="Arial" w:eastAsia="Times New Roman" w:hAnsi="Times New Roman"/>
      <w:sz w:val="24"/>
      <w:szCs w:val="20"/>
    </w:rPr>
  </w:style>
  <w:style w:type="table" w:styleId="Tabela-Siatka111" w:customStyle="1">
    <w:name w:val="Tabela - Siatka111"/>
    <w:basedOn w:val="Standardowy"/>
    <w:next w:val="Tabela-Siatka"/>
    <w:rsid w:val="00EA1C22"/>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atka">
    <w:name w:val="Table Grid"/>
    <w:basedOn w:val="Standardowy"/>
    <w:uiPriority w:val="39"/>
    <w:rsid w:val="00EA1C2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opka">
    <w:name w:val="footer"/>
    <w:basedOn w:val="Normalny"/>
    <w:link w:val="StopkaZnak"/>
    <w:uiPriority w:val="99"/>
    <w:unhideWhenUsed w:val="1"/>
    <w:rsid w:val="00EA1C22"/>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EA1C22"/>
  </w:style>
  <w:style w:type="paragraph" w:styleId="Tekstdymka">
    <w:name w:val="Balloon Text"/>
    <w:basedOn w:val="Normalny"/>
    <w:link w:val="TekstdymkaZnak"/>
    <w:uiPriority w:val="99"/>
    <w:semiHidden w:val="1"/>
    <w:unhideWhenUsed w:val="1"/>
    <w:rsid w:val="007E3E4D"/>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7E3E4D"/>
    <w:rPr>
      <w:rFonts w:ascii="Segoe UI" w:cs="Segoe UI" w:hAnsi="Segoe UI"/>
      <w:sz w:val="18"/>
      <w:szCs w:val="18"/>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7.0" w:type="dxa"/>
        <w:bottom w:w="0.0" w:type="dxa"/>
        <w:right w:w="107.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tblPr>
      <w:tblStyleRowBandSize w:val="1"/>
      <w:tblStyleColBandSize w:val="1"/>
      <w:tblCellMar>
        <w:top w:w="0.0" w:type="dxa"/>
        <w:left w:w="115.0" w:type="dxa"/>
        <w:bottom w:w="0.0" w:type="dxa"/>
        <w:right w:w="115.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table" w:styleId="a3" w:customStyle="1">
    <w:basedOn w:val="TableNormal"/>
    <w:tblPr>
      <w:tblStyleRowBandSize w:val="1"/>
      <w:tblStyleColBandSize w:val="1"/>
      <w:tblCellMar>
        <w:top w:w="0.0" w:type="dxa"/>
        <w:left w:w="115.0" w:type="dxa"/>
        <w:bottom w:w="0.0" w:type="dxa"/>
        <w:right w:w="115.0" w:type="dxa"/>
      </w:tblCellMar>
    </w:tblPr>
  </w:style>
  <w:style w:type="table" w:styleId="a4"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character" w:styleId="Odwoaniedokomentarza">
    <w:name w:val="annotation reference"/>
    <w:basedOn w:val="Domylnaczcionkaakapitu"/>
    <w:uiPriority w:val="99"/>
    <w:semiHidden w:val="1"/>
    <w:unhideWhenUsed w:val="1"/>
    <w:rsid w:val="00E8407D"/>
    <w:rPr>
      <w:sz w:val="16"/>
      <w:szCs w:val="16"/>
    </w:rPr>
  </w:style>
  <w:style w:type="paragraph" w:styleId="Tekstkomentarza">
    <w:name w:val="annotation text"/>
    <w:basedOn w:val="Normalny"/>
    <w:link w:val="TekstkomentarzaZnak"/>
    <w:uiPriority w:val="99"/>
    <w:semiHidden w:val="1"/>
    <w:unhideWhenUsed w:val="1"/>
    <w:rsid w:val="00E8407D"/>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E8407D"/>
    <w:rPr>
      <w:sz w:val="20"/>
      <w:szCs w:val="20"/>
    </w:rPr>
  </w:style>
  <w:style w:type="paragraph" w:styleId="Tematkomentarza">
    <w:name w:val="annotation subject"/>
    <w:basedOn w:val="Tekstkomentarza"/>
    <w:next w:val="Tekstkomentarza"/>
    <w:link w:val="TematkomentarzaZnak"/>
    <w:uiPriority w:val="99"/>
    <w:semiHidden w:val="1"/>
    <w:unhideWhenUsed w:val="1"/>
    <w:rsid w:val="00E8407D"/>
    <w:rPr>
      <w:b w:val="1"/>
      <w:bCs w:val="1"/>
    </w:rPr>
  </w:style>
  <w:style w:type="character" w:styleId="TematkomentarzaZnak" w:customStyle="1">
    <w:name w:val="Temat komentarza Znak"/>
    <w:basedOn w:val="TekstkomentarzaZnak"/>
    <w:link w:val="Tematkomentarza"/>
    <w:uiPriority w:val="99"/>
    <w:semiHidden w:val="1"/>
    <w:rsid w:val="00E8407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8zUie+y3Ptpi7eHyBWORaMQGQ==">CgMxLjAyDmguOXI2MjhrMzYxMXEzMg5oLmc0MHcxemR5b3h4YzIOaC5uczI0NDJyYm5jZ3AyDmguMnRwajlnczhxYnhzMg5oLjRvaGtqYWFqZm5mZzgAciExU01TUWhoeHl1YWRHZE1Tai1YTXRnNjN1S2YwcmRJeHY=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2025-06-02T13:16:00Z</dcterms:created>
  <dc:creator>Pietrzak Ewa</dc:creator>
</cp:coreProperties>
</file>